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802C76" w:rsidRDefault="00802C76" w:rsidP="00802C76">
      <w:pPr>
        <w:spacing w:before="0"/>
        <w:jc w:val="center"/>
        <w:rPr>
          <w:b/>
          <w:szCs w:val="22"/>
        </w:rPr>
      </w:pPr>
    </w:p>
    <w:p w:rsidR="00802C76" w:rsidRPr="00893AA4" w:rsidRDefault="00802C76" w:rsidP="00802C76">
      <w:pPr>
        <w:spacing w:before="0"/>
        <w:jc w:val="center"/>
        <w:rPr>
          <w:b/>
          <w:szCs w:val="24"/>
        </w:rPr>
      </w:pPr>
      <w:r>
        <w:rPr>
          <w:b/>
          <w:szCs w:val="22"/>
        </w:rPr>
        <w:t xml:space="preserve">Contract title: </w:t>
      </w:r>
      <w:r w:rsidRPr="00E87253">
        <w:rPr>
          <w:b/>
          <w:szCs w:val="22"/>
        </w:rPr>
        <w:t xml:space="preserve">ORGANIZATION OF EVENTS FOR THE IMPLEMENTATION OF THE </w:t>
      </w:r>
      <w:proofErr w:type="gramStart"/>
      <w:r w:rsidRPr="00E87253">
        <w:rPr>
          <w:b/>
          <w:szCs w:val="22"/>
        </w:rPr>
        <w:t>PROJECT  -</w:t>
      </w:r>
      <w:proofErr w:type="gramEnd"/>
      <w:r w:rsidRPr="00E87253">
        <w:rPr>
          <w:b/>
          <w:szCs w:val="22"/>
        </w:rPr>
        <w:t xml:space="preserve"> </w:t>
      </w:r>
      <w:r w:rsidRPr="00E87253">
        <w:rPr>
          <w:b/>
          <w:szCs w:val="24"/>
        </w:rPr>
        <w:t>NEW OPPORTUNITIES FOR SUSTAINABLE TOURISM IN THE VILLAGES -</w:t>
      </w:r>
    </w:p>
    <w:p w:rsidR="006F5FD0" w:rsidRPr="00B33EE6" w:rsidRDefault="006F5FD0">
      <w:pPr>
        <w:jc w:val="center"/>
        <w:rPr>
          <w:sz w:val="28"/>
          <w:szCs w:val="28"/>
          <w:lang w:val="en-GB"/>
        </w:rPr>
      </w:pPr>
      <w:r w:rsidRPr="00802C76">
        <w:rPr>
          <w:rStyle w:val="Strong"/>
          <w:sz w:val="28"/>
          <w:szCs w:val="28"/>
          <w:lang w:val="en-GB"/>
        </w:rPr>
        <w:t xml:space="preserve">Location </w:t>
      </w:r>
      <w:r w:rsidR="00802C76" w:rsidRPr="00802C76">
        <w:rPr>
          <w:rStyle w:val="Strong"/>
          <w:sz w:val="28"/>
          <w:szCs w:val="28"/>
          <w:lang w:val="en-GB"/>
        </w:rPr>
        <w:t>–</w:t>
      </w:r>
      <w:r w:rsidRPr="00802C76">
        <w:rPr>
          <w:rStyle w:val="Strong"/>
          <w:sz w:val="28"/>
          <w:szCs w:val="28"/>
          <w:lang w:val="en-GB"/>
        </w:rPr>
        <w:t xml:space="preserve"> </w:t>
      </w:r>
      <w:r w:rsidR="00802C76" w:rsidRPr="00802C76">
        <w:rPr>
          <w:rStyle w:val="Emphasis"/>
          <w:i w:val="0"/>
          <w:sz w:val="28"/>
          <w:szCs w:val="28"/>
          <w:lang w:val="en-GB"/>
        </w:rPr>
        <w:t xml:space="preserve">Municipality of </w:t>
      </w:r>
      <w:proofErr w:type="spellStart"/>
      <w:r w:rsidR="00802C76" w:rsidRPr="00802C76">
        <w:rPr>
          <w:rStyle w:val="Emphasis"/>
          <w:i w:val="0"/>
          <w:sz w:val="28"/>
          <w:szCs w:val="28"/>
          <w:lang w:val="en-GB"/>
        </w:rPr>
        <w:t>Vladičin</w:t>
      </w:r>
      <w:proofErr w:type="spellEnd"/>
      <w:r w:rsidR="00802C76" w:rsidRPr="00802C76">
        <w:rPr>
          <w:rStyle w:val="Emphasis"/>
          <w:i w:val="0"/>
          <w:sz w:val="28"/>
          <w:szCs w:val="28"/>
          <w:lang w:val="en-GB"/>
        </w:rPr>
        <w:t xml:space="preserve"> Han</w:t>
      </w:r>
      <w:r w:rsidRPr="00802C76">
        <w:rPr>
          <w:rStyle w:val="Emphasis"/>
          <w:i w:val="0"/>
          <w:sz w:val="28"/>
          <w:szCs w:val="28"/>
          <w:lang w:val="en-GB"/>
        </w:rPr>
        <w:t>/</w:t>
      </w:r>
      <w:proofErr w:type="spellStart"/>
      <w:r w:rsidR="00802C76" w:rsidRPr="00802C76">
        <w:rPr>
          <w:rStyle w:val="Emphasis"/>
          <w:i w:val="0"/>
          <w:sz w:val="28"/>
          <w:szCs w:val="28"/>
          <w:lang w:val="en-GB"/>
        </w:rPr>
        <w:t>Pčinja</w:t>
      </w:r>
      <w:proofErr w:type="spellEnd"/>
      <w:r w:rsidR="00802C76" w:rsidRPr="00802C76">
        <w:rPr>
          <w:rStyle w:val="Emphasis"/>
          <w:i w:val="0"/>
          <w:sz w:val="28"/>
          <w:szCs w:val="28"/>
          <w:lang w:val="en-GB"/>
        </w:rPr>
        <w:t xml:space="preserve"> district/Republic of Serbia</w:t>
      </w:r>
      <w:r w:rsidRPr="00802C76">
        <w:rPr>
          <w:rStyle w:val="Emphasis"/>
          <w:i w:val="0"/>
          <w:sz w:val="28"/>
          <w:szCs w:val="28"/>
          <w:lang w:val="en-GB"/>
        </w:rPr>
        <w:t xml:space="preserve"> and </w:t>
      </w:r>
      <w:proofErr w:type="spellStart"/>
      <w:r w:rsidR="00802C76" w:rsidRPr="00802C76">
        <w:rPr>
          <w:rStyle w:val="Emphasis"/>
          <w:i w:val="0"/>
          <w:sz w:val="28"/>
          <w:szCs w:val="28"/>
          <w:lang w:val="en-GB"/>
        </w:rPr>
        <w:t>Kyustendil</w:t>
      </w:r>
      <w:proofErr w:type="spellEnd"/>
      <w:r w:rsidR="00802C76" w:rsidRPr="00802C76">
        <w:rPr>
          <w:rStyle w:val="Emphasis"/>
          <w:i w:val="0"/>
          <w:sz w:val="28"/>
          <w:szCs w:val="28"/>
          <w:lang w:val="en-GB"/>
        </w:rPr>
        <w:t xml:space="preserve"> city/</w:t>
      </w:r>
      <w:proofErr w:type="spellStart"/>
      <w:r w:rsidR="00802C76" w:rsidRPr="00802C76">
        <w:rPr>
          <w:rStyle w:val="Emphasis"/>
          <w:i w:val="0"/>
          <w:sz w:val="28"/>
          <w:szCs w:val="28"/>
          <w:lang w:val="en-GB"/>
        </w:rPr>
        <w:t>Kyusten</w:t>
      </w:r>
      <w:r w:rsidR="00802C76">
        <w:rPr>
          <w:rStyle w:val="Emphasis"/>
          <w:i w:val="0"/>
          <w:sz w:val="28"/>
          <w:szCs w:val="28"/>
          <w:lang w:val="en-GB"/>
        </w:rPr>
        <w:t>d</w:t>
      </w:r>
      <w:r w:rsidR="00802C76" w:rsidRPr="00802C76">
        <w:rPr>
          <w:rStyle w:val="Emphasis"/>
          <w:i w:val="0"/>
          <w:sz w:val="28"/>
          <w:szCs w:val="28"/>
          <w:lang w:val="en-GB"/>
        </w:rPr>
        <w:t>il</w:t>
      </w:r>
      <w:proofErr w:type="spellEnd"/>
      <w:r w:rsidR="00802C76" w:rsidRPr="00802C76">
        <w:rPr>
          <w:rStyle w:val="Emphasis"/>
          <w:i w:val="0"/>
          <w:sz w:val="28"/>
          <w:szCs w:val="28"/>
          <w:lang w:val="en-GB"/>
        </w:rPr>
        <w:t xml:space="preserve"> district/Republic of Bulgaria</w:t>
      </w:r>
      <w:r w:rsidRPr="00802C76">
        <w:rPr>
          <w:rStyle w:val="Emphasis"/>
          <w:i w:val="0"/>
          <w:sz w:val="28"/>
          <w:szCs w:val="28"/>
          <w:lang w:val="en-GB"/>
        </w:rPr>
        <w:t xml:space="preserve"> </w:t>
      </w: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4D6052">
      <w:pPr>
        <w:pStyle w:val="Blockquote"/>
        <w:rPr>
          <w:i/>
          <w:sz w:val="22"/>
          <w:szCs w:val="22"/>
          <w:lang w:val="en-GB"/>
        </w:rPr>
      </w:pPr>
      <w:r>
        <w:rPr>
          <w:rStyle w:val="Emphasis"/>
          <w:i w:val="0"/>
          <w:sz w:val="22"/>
          <w:szCs w:val="22"/>
          <w:lang w:val="en-GB"/>
        </w:rPr>
        <w:t>CBOO7.2.12.080/</w:t>
      </w:r>
      <w:r w:rsidR="00802C76">
        <w:rPr>
          <w:rStyle w:val="Emphasis"/>
          <w:i w:val="0"/>
          <w:sz w:val="22"/>
          <w:szCs w:val="22"/>
          <w:lang w:val="en-GB"/>
        </w:rPr>
        <w:t>PP2</w:t>
      </w:r>
      <w:r>
        <w:rPr>
          <w:rStyle w:val="Emphasis"/>
          <w:i w:val="0"/>
          <w:sz w:val="22"/>
          <w:szCs w:val="22"/>
          <w:lang w:val="en-GB"/>
        </w:rPr>
        <w:t>/TD1</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542A21" w:rsidP="00C867B9">
      <w:pPr>
        <w:pStyle w:val="Blockquote"/>
        <w:ind w:left="0"/>
        <w:jc w:val="both"/>
        <w:rPr>
          <w:sz w:val="22"/>
          <w:szCs w:val="22"/>
          <w:lang w:val="en-GB"/>
        </w:rPr>
      </w:pPr>
      <w:r w:rsidRPr="00542A21">
        <w:rPr>
          <w:sz w:val="22"/>
          <w:szCs w:val="22"/>
          <w:lang w:val="en-GB"/>
        </w:rPr>
        <w:t xml:space="preserve">       Simplified</w:t>
      </w:r>
    </w:p>
    <w:p w:rsidR="00802C76" w:rsidRPr="004D6052" w:rsidRDefault="006F5FD0" w:rsidP="004D605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r w:rsidR="00802C76">
        <w:rPr>
          <w:lang w:val="en-GB"/>
        </w:rPr>
        <w:t xml:space="preserve"> </w:t>
      </w:r>
    </w:p>
    <w:p w:rsidR="004D6052" w:rsidRPr="004D6052" w:rsidRDefault="004D6052" w:rsidP="004D6052">
      <w:pPr>
        <w:pStyle w:val="PRAGHeading2"/>
        <w:numPr>
          <w:ilvl w:val="0"/>
          <w:numId w:val="0"/>
        </w:numPr>
        <w:spacing w:before="0" w:after="120"/>
        <w:ind w:left="357" w:right="357"/>
        <w:rPr>
          <w:sz w:val="22"/>
        </w:rPr>
      </w:pPr>
      <w:r w:rsidRPr="000D0C6F">
        <w:rPr>
          <w:lang w:val="it-IT"/>
        </w:rPr>
        <w:t>Interreg – IPA CBC Bulgaria – Serbia Programme, Call No: 2014TC16I5CB007-2018-2</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4D6052" w:rsidRPr="00FE7D0F" w:rsidRDefault="00802C76" w:rsidP="004D6052">
      <w:pPr>
        <w:shd w:val="clear" w:color="auto" w:fill="FFFFFF"/>
        <w:spacing w:before="0" w:after="120"/>
        <w:ind w:left="360"/>
        <w:jc w:val="both"/>
        <w:rPr>
          <w:sz w:val="22"/>
        </w:rPr>
      </w:pPr>
      <w:r>
        <w:rPr>
          <w:b/>
          <w:sz w:val="28"/>
          <w:lang w:val="en-GB"/>
        </w:rPr>
        <w:t xml:space="preserve">     </w:t>
      </w:r>
      <w:r w:rsidR="004D6052" w:rsidRPr="009C085A">
        <w:rPr>
          <w:rStyle w:val="Emphasis"/>
          <w:i w:val="0"/>
          <w:sz w:val="22"/>
        </w:rPr>
        <w:t xml:space="preserve">The project </w:t>
      </w:r>
      <w:r w:rsidR="004D6052" w:rsidRPr="009C085A">
        <w:rPr>
          <w:sz w:val="22"/>
        </w:rPr>
        <w:t>"</w:t>
      </w:r>
      <w:r w:rsidR="004D6052" w:rsidRPr="00FE7D0F">
        <w:rPr>
          <w:snapToGrid/>
          <w:sz w:val="22"/>
          <w:lang w:eastAsia="sr-Latn-RS"/>
        </w:rPr>
        <w:t>New opportunities for sustainable tourism in the villages</w:t>
      </w:r>
      <w:r w:rsidR="004D6052" w:rsidRPr="009C085A">
        <w:rPr>
          <w:sz w:val="22"/>
        </w:rPr>
        <w:t>"</w:t>
      </w:r>
      <w:r w:rsidR="004D6052">
        <w:rPr>
          <w:sz w:val="22"/>
        </w:rPr>
        <w:t xml:space="preserve"> with project reference </w:t>
      </w:r>
      <w:proofErr w:type="gramStart"/>
      <w:r w:rsidR="004D6052">
        <w:rPr>
          <w:sz w:val="22"/>
        </w:rPr>
        <w:t xml:space="preserve">number  </w:t>
      </w:r>
      <w:r w:rsidR="004D6052" w:rsidRPr="003B4AA3">
        <w:rPr>
          <w:lang w:val="en-GB"/>
        </w:rPr>
        <w:t>CB007.2.12.080</w:t>
      </w:r>
      <w:proofErr w:type="gramEnd"/>
      <w:r w:rsidR="004D6052" w:rsidRPr="009C085A">
        <w:rPr>
          <w:sz w:val="22"/>
        </w:rPr>
        <w:t xml:space="preserve">, is co-funded by the European Union, through </w:t>
      </w:r>
      <w:proofErr w:type="spellStart"/>
      <w:r w:rsidR="004D6052" w:rsidRPr="000D0C6F">
        <w:rPr>
          <w:sz w:val="22"/>
          <w:lang w:val="en-GB"/>
        </w:rPr>
        <w:t>Interreg</w:t>
      </w:r>
      <w:proofErr w:type="spellEnd"/>
      <w:r w:rsidR="004D6052" w:rsidRPr="000D0C6F">
        <w:rPr>
          <w:sz w:val="22"/>
          <w:lang w:val="en-GB"/>
        </w:rPr>
        <w:t xml:space="preserve"> – IPA CBC Bulgaria – Serbia Programme 2014-2020, </w:t>
      </w:r>
      <w:r w:rsidR="004D6052" w:rsidRPr="009C085A">
        <w:rPr>
          <w:sz w:val="22"/>
        </w:rPr>
        <w:t>Contract ref. No. RD-02-29-</w:t>
      </w:r>
      <w:r w:rsidR="004D6052">
        <w:rPr>
          <w:sz w:val="22"/>
        </w:rPr>
        <w:t>83</w:t>
      </w:r>
      <w:r w:rsidR="004D6052" w:rsidRPr="009C085A">
        <w:rPr>
          <w:sz w:val="22"/>
        </w:rPr>
        <w:t>/1</w:t>
      </w:r>
      <w:r w:rsidR="004D6052">
        <w:rPr>
          <w:sz w:val="22"/>
        </w:rPr>
        <w:t>8</w:t>
      </w:r>
      <w:r w:rsidR="004D6052" w:rsidRPr="009C085A">
        <w:rPr>
          <w:sz w:val="22"/>
        </w:rPr>
        <w:t>.</w:t>
      </w:r>
      <w:r w:rsidR="004D6052">
        <w:rPr>
          <w:sz w:val="22"/>
        </w:rPr>
        <w:t>06</w:t>
      </w:r>
      <w:r w:rsidR="004D6052" w:rsidRPr="009C085A">
        <w:rPr>
          <w:sz w:val="22"/>
        </w:rPr>
        <w:t>.20</w:t>
      </w:r>
      <w:r w:rsidR="004D6052">
        <w:rPr>
          <w:sz w:val="22"/>
        </w:rPr>
        <w:t>20</w:t>
      </w:r>
      <w:r w:rsidR="004D6052" w:rsidRPr="009C085A">
        <w:rPr>
          <w:sz w:val="22"/>
        </w:rPr>
        <w:t xml:space="preserve">, </w:t>
      </w:r>
      <w:r w:rsidR="004D6052">
        <w:rPr>
          <w:sz w:val="22"/>
        </w:rPr>
        <w:t xml:space="preserve">Project partner 2, </w:t>
      </w:r>
      <w:r w:rsidR="004D6052" w:rsidRPr="009C085A">
        <w:rPr>
          <w:sz w:val="22"/>
        </w:rPr>
        <w:t>Budget line</w:t>
      </w:r>
      <w:r w:rsidR="004D6052">
        <w:rPr>
          <w:sz w:val="22"/>
        </w:rPr>
        <w:t>s: BL 3.1; BL 3.3;</w:t>
      </w:r>
      <w:r w:rsidR="004D6052" w:rsidRPr="009C085A">
        <w:rPr>
          <w:sz w:val="22"/>
        </w:rPr>
        <w:t xml:space="preserve"> BL 4.</w:t>
      </w:r>
      <w:r w:rsidR="004D6052">
        <w:rPr>
          <w:sz w:val="22"/>
        </w:rPr>
        <w:t>1; BL 4.2; BL 4.3; BL 4.4</w:t>
      </w:r>
      <w:r w:rsidR="004D6052" w:rsidRPr="009C085A">
        <w:rPr>
          <w:sz w:val="22"/>
        </w:rPr>
        <w:t xml:space="preserve"> and </w:t>
      </w:r>
      <w:r w:rsidR="004D6052">
        <w:rPr>
          <w:sz w:val="22"/>
        </w:rPr>
        <w:t xml:space="preserve">BL </w:t>
      </w:r>
      <w:r w:rsidR="004D6052" w:rsidRPr="009C085A">
        <w:rPr>
          <w:sz w:val="22"/>
        </w:rPr>
        <w:t>4.</w:t>
      </w:r>
      <w:r w:rsidR="004D6052">
        <w:rPr>
          <w:sz w:val="22"/>
        </w:rPr>
        <w:t>5.</w:t>
      </w:r>
    </w:p>
    <w:p w:rsidR="006F5FD0" w:rsidRPr="00B33EE6" w:rsidRDefault="006F5FD0" w:rsidP="004D6052">
      <w:pPr>
        <w:keepNext/>
        <w:ind w:firstLine="426"/>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4F1360" w:rsidRDefault="004F1360" w:rsidP="004F1360">
      <w:pPr>
        <w:pStyle w:val="BodyText"/>
        <w:rPr>
          <w:sz w:val="22"/>
          <w:szCs w:val="22"/>
        </w:rPr>
      </w:pPr>
      <w:r w:rsidRPr="00E856A4">
        <w:rPr>
          <w:b/>
          <w:sz w:val="22"/>
          <w:szCs w:val="22"/>
        </w:rPr>
        <w:t xml:space="preserve">Center for cultural activities, tourism and librarianship </w:t>
      </w:r>
      <w:r>
        <w:rPr>
          <w:b/>
          <w:sz w:val="22"/>
          <w:szCs w:val="22"/>
        </w:rPr>
        <w:t xml:space="preserve">of </w:t>
      </w:r>
      <w:proofErr w:type="spellStart"/>
      <w:r w:rsidRPr="00E856A4">
        <w:rPr>
          <w:b/>
          <w:sz w:val="22"/>
          <w:szCs w:val="22"/>
        </w:rPr>
        <w:t>Vladičin</w:t>
      </w:r>
      <w:proofErr w:type="spellEnd"/>
      <w:r w:rsidRPr="00E856A4">
        <w:rPr>
          <w:b/>
          <w:sz w:val="22"/>
          <w:szCs w:val="22"/>
        </w:rPr>
        <w:t xml:space="preserve"> Han</w:t>
      </w:r>
      <w:r w:rsidRPr="00E856A4">
        <w:rPr>
          <w:b/>
          <w:sz w:val="22"/>
          <w:szCs w:val="22"/>
          <w:highlight w:val="yellow"/>
        </w:rPr>
        <w:br/>
      </w:r>
      <w:r>
        <w:rPr>
          <w:sz w:val="22"/>
          <w:szCs w:val="22"/>
        </w:rPr>
        <w:t xml:space="preserve">address: </w:t>
      </w:r>
      <w:proofErr w:type="spellStart"/>
      <w:r>
        <w:rPr>
          <w:sz w:val="22"/>
          <w:szCs w:val="22"/>
        </w:rPr>
        <w:t>Nikole</w:t>
      </w:r>
      <w:proofErr w:type="spellEnd"/>
      <w:r>
        <w:rPr>
          <w:sz w:val="22"/>
          <w:szCs w:val="22"/>
        </w:rPr>
        <w:t xml:space="preserve"> </w:t>
      </w:r>
      <w:proofErr w:type="spellStart"/>
      <w:r>
        <w:rPr>
          <w:sz w:val="22"/>
          <w:szCs w:val="22"/>
        </w:rPr>
        <w:t>Tesle</w:t>
      </w:r>
      <w:proofErr w:type="spellEnd"/>
      <w:r>
        <w:rPr>
          <w:sz w:val="22"/>
          <w:szCs w:val="22"/>
        </w:rPr>
        <w:t xml:space="preserve"> str.</w:t>
      </w:r>
      <w:r w:rsidRPr="00F30710">
        <w:rPr>
          <w:sz w:val="22"/>
          <w:szCs w:val="22"/>
        </w:rPr>
        <w:t xml:space="preserve"> 2</w:t>
      </w:r>
    </w:p>
    <w:p w:rsidR="004F1360" w:rsidRDefault="004F1360" w:rsidP="004F1360">
      <w:pPr>
        <w:pStyle w:val="BodyText"/>
        <w:rPr>
          <w:sz w:val="22"/>
          <w:szCs w:val="22"/>
        </w:rPr>
      </w:pPr>
      <w:proofErr w:type="spellStart"/>
      <w:r>
        <w:rPr>
          <w:sz w:val="22"/>
          <w:szCs w:val="22"/>
        </w:rPr>
        <w:t>Vladicin</w:t>
      </w:r>
      <w:proofErr w:type="spellEnd"/>
      <w:r>
        <w:rPr>
          <w:sz w:val="22"/>
          <w:szCs w:val="22"/>
        </w:rPr>
        <w:t xml:space="preserve"> Han 17510</w:t>
      </w:r>
      <w:r w:rsidRPr="00F30710">
        <w:rPr>
          <w:sz w:val="22"/>
          <w:szCs w:val="22"/>
        </w:rPr>
        <w:br/>
      </w:r>
      <w:proofErr w:type="spellStart"/>
      <w:r w:rsidRPr="00F30710">
        <w:rPr>
          <w:sz w:val="22"/>
          <w:szCs w:val="22"/>
        </w:rPr>
        <w:t>tel</w:t>
      </w:r>
      <w:proofErr w:type="spellEnd"/>
      <w:r w:rsidRPr="00F30710">
        <w:rPr>
          <w:sz w:val="22"/>
          <w:szCs w:val="22"/>
        </w:rPr>
        <w:t xml:space="preserve">: </w:t>
      </w:r>
      <w:r>
        <w:rPr>
          <w:sz w:val="22"/>
          <w:szCs w:val="22"/>
        </w:rPr>
        <w:t xml:space="preserve">+381 </w:t>
      </w:r>
      <w:r w:rsidRPr="00F30710">
        <w:rPr>
          <w:sz w:val="22"/>
          <w:szCs w:val="22"/>
        </w:rPr>
        <w:t>17 473 824</w:t>
      </w:r>
      <w:r w:rsidRPr="005D1583">
        <w:rPr>
          <w:sz w:val="22"/>
          <w:szCs w:val="22"/>
          <w:highlight w:val="yellow"/>
        </w:rPr>
        <w:br/>
      </w:r>
      <w:r w:rsidRPr="00F30710">
        <w:rPr>
          <w:sz w:val="22"/>
          <w:szCs w:val="22"/>
        </w:rPr>
        <w:t>e-mail:</w:t>
      </w:r>
      <w:r>
        <w:rPr>
          <w:sz w:val="22"/>
          <w:szCs w:val="22"/>
        </w:rPr>
        <w:t xml:space="preserve"> centarkulturevhan@gmail.com</w:t>
      </w:r>
    </w:p>
    <w:p w:rsidR="004F1360" w:rsidRDefault="004F1360" w:rsidP="004F1360">
      <w:pPr>
        <w:pStyle w:val="BodyText"/>
        <w:rPr>
          <w:sz w:val="22"/>
          <w:szCs w:val="22"/>
        </w:rPr>
      </w:pPr>
    </w:p>
    <w:p w:rsidR="004F1360" w:rsidRPr="00E856A4" w:rsidRDefault="004F1360" w:rsidP="004F1360">
      <w:pPr>
        <w:pStyle w:val="BodyText"/>
        <w:rPr>
          <w:sz w:val="22"/>
          <w:szCs w:val="22"/>
          <w:lang w:val="sr-Latn-RS"/>
        </w:rPr>
      </w:pPr>
      <w:r>
        <w:rPr>
          <w:sz w:val="22"/>
          <w:szCs w:val="22"/>
        </w:rPr>
        <w:t xml:space="preserve">Contact name: </w:t>
      </w:r>
      <w:r>
        <w:rPr>
          <w:sz w:val="22"/>
          <w:szCs w:val="22"/>
          <w:lang w:val="sr-Latn-RS"/>
        </w:rPr>
        <w:t>Časlav Mladenović</w:t>
      </w:r>
    </w:p>
    <w:p w:rsidR="006F5FD0" w:rsidRPr="00B33EE6" w:rsidRDefault="008667BE">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0y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W8xstp/F76NKgd93hGcp+EdCOoLekz+&#10;JjBoOlAI6sbG/PmQPqzmq3k+ysez1ShPq2r0ab3MR7N1dj+tJtVyWWW/QsgsL1rBGFdBo8uQZPnf&#10;NeEwruf2vo7JtRrJLfqZ+RHEAgEvpGNThT46d+ROs9PGXpoN5iIaDzMcBu/tGfZv/zSL3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CPZ20y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542A21">
        <w:rPr>
          <w:rStyle w:val="Emphasis"/>
          <w:i w:val="0"/>
          <w:sz w:val="22"/>
          <w:szCs w:val="22"/>
          <w:lang w:val="en-GB"/>
        </w:rPr>
        <w:t>Global price</w:t>
      </w:r>
    </w:p>
    <w:p w:rsidR="006F5FD0" w:rsidRDefault="006F5FD0" w:rsidP="00584BF4">
      <w:pPr>
        <w:ind w:left="709" w:hanging="352"/>
        <w:outlineLvl w:val="0"/>
        <w:rPr>
          <w:rStyle w:val="Strong"/>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4F1360" w:rsidRPr="004F1360" w:rsidRDefault="004F1360" w:rsidP="004F1360">
      <w:pPr>
        <w:ind w:left="142" w:hanging="66"/>
        <w:outlineLvl w:val="0"/>
        <w:rPr>
          <w:szCs w:val="24"/>
        </w:rPr>
      </w:pPr>
      <w:r w:rsidRPr="009C085A">
        <w:rPr>
          <w:szCs w:val="24"/>
        </w:rPr>
        <w:t>The subject of this contract is</w:t>
      </w:r>
      <w:r>
        <w:rPr>
          <w:szCs w:val="24"/>
        </w:rPr>
        <w:t xml:space="preserve">: </w:t>
      </w:r>
    </w:p>
    <w:p w:rsidR="00E341A6" w:rsidRPr="00E341A6" w:rsidRDefault="00E341A6" w:rsidP="0067150F">
      <w:pPr>
        <w:shd w:val="clear" w:color="auto" w:fill="FFFFFF"/>
        <w:ind w:left="284" w:firstLine="76"/>
        <w:jc w:val="both"/>
        <w:outlineLvl w:val="0"/>
        <w:rPr>
          <w:sz w:val="22"/>
          <w:szCs w:val="22"/>
          <w:shd w:val="clear" w:color="auto" w:fill="F5F5F5"/>
        </w:rPr>
      </w:pPr>
      <w:r w:rsidRPr="00E341A6">
        <w:rPr>
          <w:sz w:val="22"/>
          <w:szCs w:val="22"/>
          <w:shd w:val="clear" w:color="auto" w:fill="F5F5F5"/>
        </w:rPr>
        <w:t xml:space="preserve">Providing services of a travel agency for transportation and accommodation of participants in the project "New opportunities for sustainable tourism in the villages", </w:t>
      </w:r>
      <w:proofErr w:type="gramStart"/>
      <w:r w:rsidRPr="00E341A6">
        <w:rPr>
          <w:sz w:val="22"/>
          <w:szCs w:val="22"/>
          <w:shd w:val="clear" w:color="auto" w:fill="F5F5F5"/>
        </w:rPr>
        <w:t>which is realized in the period from 18.06.2020-18.09.2021.</w:t>
      </w:r>
      <w:proofErr w:type="gramEnd"/>
      <w:r w:rsidRPr="00E341A6">
        <w:rPr>
          <w:sz w:val="22"/>
          <w:szCs w:val="22"/>
          <w:shd w:val="clear" w:color="auto" w:fill="F5F5F5"/>
        </w:rPr>
        <w:t xml:space="preserve"> The project is implemented in cooperation with the Regional Chambers of skilled crafts - </w:t>
      </w:r>
      <w:proofErr w:type="spellStart"/>
      <w:r w:rsidRPr="00E341A6">
        <w:rPr>
          <w:sz w:val="22"/>
          <w:szCs w:val="22"/>
          <w:shd w:val="clear" w:color="auto" w:fill="F5F5F5"/>
        </w:rPr>
        <w:t>Kyustendil</w:t>
      </w:r>
      <w:proofErr w:type="spellEnd"/>
      <w:r w:rsidRPr="00E341A6">
        <w:rPr>
          <w:sz w:val="22"/>
          <w:szCs w:val="22"/>
          <w:shd w:val="clear" w:color="auto" w:fill="F5F5F5"/>
        </w:rPr>
        <w:t xml:space="preserve">, Republic of Bulgaria and the Center for cultural activities, tourism and librarianship of </w:t>
      </w:r>
      <w:proofErr w:type="spellStart"/>
      <w:r w:rsidRPr="00E341A6">
        <w:rPr>
          <w:sz w:val="22"/>
          <w:szCs w:val="22"/>
          <w:shd w:val="clear" w:color="auto" w:fill="F5F5F5"/>
        </w:rPr>
        <w:t>Vladicin</w:t>
      </w:r>
      <w:proofErr w:type="spellEnd"/>
      <w:r w:rsidRPr="00E341A6">
        <w:rPr>
          <w:sz w:val="22"/>
          <w:szCs w:val="22"/>
          <w:shd w:val="clear" w:color="auto" w:fill="F5F5F5"/>
        </w:rPr>
        <w:t xml:space="preserve"> Han Municipality, Republic of Serbia. Project activities that are the subject of this contract include transportation by car of project team members (3 persons) from </w:t>
      </w:r>
      <w:proofErr w:type="spellStart"/>
      <w:r w:rsidRPr="00E341A6">
        <w:rPr>
          <w:sz w:val="22"/>
          <w:szCs w:val="22"/>
          <w:shd w:val="clear" w:color="auto" w:fill="F5F5F5"/>
        </w:rPr>
        <w:t>Vladicin</w:t>
      </w:r>
      <w:proofErr w:type="spellEnd"/>
      <w:r w:rsidRPr="00E341A6">
        <w:rPr>
          <w:sz w:val="22"/>
          <w:szCs w:val="22"/>
          <w:shd w:val="clear" w:color="auto" w:fill="F5F5F5"/>
        </w:rPr>
        <w:t xml:space="preserve"> Han to </w:t>
      </w:r>
      <w:proofErr w:type="spellStart"/>
      <w:r w:rsidRPr="00E341A6">
        <w:rPr>
          <w:sz w:val="22"/>
          <w:szCs w:val="22"/>
          <w:shd w:val="clear" w:color="auto" w:fill="F5F5F5"/>
        </w:rPr>
        <w:t>Kyustendil</w:t>
      </w:r>
      <w:proofErr w:type="spellEnd"/>
      <w:r w:rsidRPr="00E341A6">
        <w:rPr>
          <w:sz w:val="22"/>
          <w:szCs w:val="22"/>
          <w:shd w:val="clear" w:color="auto" w:fill="F5F5F5"/>
        </w:rPr>
        <w:t xml:space="preserve"> to hold joint meetings of project teams from both countries (3 meetings - 3 departures), car transport of project team members (3 persons) ) from </w:t>
      </w:r>
      <w:proofErr w:type="spellStart"/>
      <w:r w:rsidRPr="00E341A6">
        <w:rPr>
          <w:sz w:val="22"/>
          <w:szCs w:val="22"/>
          <w:shd w:val="clear" w:color="auto" w:fill="F5F5F5"/>
        </w:rPr>
        <w:t>Vladičin</w:t>
      </w:r>
      <w:proofErr w:type="spellEnd"/>
      <w:r w:rsidRPr="00E341A6">
        <w:rPr>
          <w:sz w:val="22"/>
          <w:szCs w:val="22"/>
          <w:shd w:val="clear" w:color="auto" w:fill="F5F5F5"/>
        </w:rPr>
        <w:t xml:space="preserve"> Han to participate in the final confere</w:t>
      </w:r>
      <w:r>
        <w:rPr>
          <w:sz w:val="22"/>
          <w:szCs w:val="22"/>
          <w:shd w:val="clear" w:color="auto" w:fill="F5F5F5"/>
        </w:rPr>
        <w:t xml:space="preserve">nce of the project in </w:t>
      </w:r>
      <w:proofErr w:type="spellStart"/>
      <w:r>
        <w:rPr>
          <w:sz w:val="22"/>
          <w:szCs w:val="22"/>
          <w:shd w:val="clear" w:color="auto" w:fill="F5F5F5"/>
        </w:rPr>
        <w:t>Kyustendi</w:t>
      </w:r>
      <w:proofErr w:type="spellEnd"/>
      <w:r>
        <w:rPr>
          <w:sz w:val="22"/>
          <w:szCs w:val="22"/>
          <w:shd w:val="clear" w:color="auto" w:fill="F5F5F5"/>
        </w:rPr>
        <w:t>;</w:t>
      </w:r>
      <w:r w:rsidRPr="00E341A6">
        <w:rPr>
          <w:sz w:val="22"/>
          <w:szCs w:val="22"/>
          <w:shd w:val="clear" w:color="auto" w:fill="F5F5F5"/>
        </w:rPr>
        <w:t xml:space="preserve"> departure by car of project team members </w:t>
      </w:r>
      <w:r w:rsidR="00777952">
        <w:rPr>
          <w:sz w:val="22"/>
          <w:szCs w:val="22"/>
          <w:shd w:val="clear" w:color="auto" w:fill="F5F5F5"/>
          <w:lang w:val="sr-Cyrl-RS"/>
        </w:rPr>
        <w:t>то</w:t>
      </w:r>
      <w:r w:rsidRPr="00E341A6">
        <w:rPr>
          <w:sz w:val="22"/>
          <w:szCs w:val="22"/>
          <w:shd w:val="clear" w:color="auto" w:fill="F5F5F5"/>
        </w:rPr>
        <w:t xml:space="preserve"> </w:t>
      </w:r>
      <w:proofErr w:type="spellStart"/>
      <w:r w:rsidRPr="00E341A6">
        <w:rPr>
          <w:sz w:val="22"/>
          <w:szCs w:val="22"/>
          <w:shd w:val="clear" w:color="auto" w:fill="F5F5F5"/>
        </w:rPr>
        <w:t>Kyuestendil</w:t>
      </w:r>
      <w:proofErr w:type="spellEnd"/>
      <w:r w:rsidRPr="00E341A6">
        <w:rPr>
          <w:sz w:val="22"/>
          <w:szCs w:val="22"/>
          <w:shd w:val="clear" w:color="auto" w:fill="F5F5F5"/>
        </w:rPr>
        <w:t xml:space="preserve"> to </w:t>
      </w:r>
      <w:r w:rsidRPr="00E341A6">
        <w:rPr>
          <w:sz w:val="22"/>
          <w:szCs w:val="22"/>
          <w:shd w:val="clear" w:color="auto" w:fill="F5F5F5"/>
        </w:rPr>
        <w:lastRenderedPageBreak/>
        <w:t xml:space="preserve">participate in a joint camp; transportation of project team members from </w:t>
      </w:r>
      <w:proofErr w:type="spellStart"/>
      <w:r w:rsidRPr="00E341A6">
        <w:rPr>
          <w:sz w:val="22"/>
          <w:szCs w:val="22"/>
          <w:shd w:val="clear" w:color="auto" w:fill="F5F5F5"/>
        </w:rPr>
        <w:t>Vladičin</w:t>
      </w:r>
      <w:proofErr w:type="spellEnd"/>
      <w:r w:rsidRPr="00E341A6">
        <w:rPr>
          <w:sz w:val="22"/>
          <w:szCs w:val="22"/>
          <w:shd w:val="clear" w:color="auto" w:fill="F5F5F5"/>
        </w:rPr>
        <w:t xml:space="preserve"> Han to participate in thematic fairs in </w:t>
      </w:r>
      <w:proofErr w:type="spellStart"/>
      <w:r w:rsidRPr="00E341A6">
        <w:rPr>
          <w:sz w:val="22"/>
          <w:szCs w:val="22"/>
          <w:shd w:val="clear" w:color="auto" w:fill="F5F5F5"/>
        </w:rPr>
        <w:t>Kyustendil</w:t>
      </w:r>
      <w:proofErr w:type="spellEnd"/>
      <w:r w:rsidRPr="00E341A6">
        <w:rPr>
          <w:sz w:val="22"/>
          <w:szCs w:val="22"/>
          <w:shd w:val="clear" w:color="auto" w:fill="F5F5F5"/>
        </w:rPr>
        <w:t xml:space="preserve"> (three different thematic fairs held at three different periods of the year). </w:t>
      </w:r>
      <w:proofErr w:type="gramStart"/>
      <w:r w:rsidRPr="00E341A6">
        <w:rPr>
          <w:sz w:val="22"/>
          <w:szCs w:val="22"/>
          <w:shd w:val="clear" w:color="auto" w:fill="F5F5F5"/>
        </w:rPr>
        <w:t xml:space="preserve">Transportation of participants from </w:t>
      </w:r>
      <w:proofErr w:type="spellStart"/>
      <w:r w:rsidRPr="00E341A6">
        <w:rPr>
          <w:sz w:val="22"/>
          <w:szCs w:val="22"/>
          <w:shd w:val="clear" w:color="auto" w:fill="F5F5F5"/>
        </w:rPr>
        <w:t>Vladičin</w:t>
      </w:r>
      <w:proofErr w:type="spellEnd"/>
      <w:r w:rsidRPr="00E341A6">
        <w:rPr>
          <w:sz w:val="22"/>
          <w:szCs w:val="22"/>
          <w:shd w:val="clear" w:color="auto" w:fill="F5F5F5"/>
        </w:rPr>
        <w:t xml:space="preserve"> Han to the final conference of the project in </w:t>
      </w:r>
      <w:proofErr w:type="spellStart"/>
      <w:r w:rsidRPr="00E341A6">
        <w:rPr>
          <w:sz w:val="22"/>
          <w:szCs w:val="22"/>
          <w:shd w:val="clear" w:color="auto" w:fill="F5F5F5"/>
        </w:rPr>
        <w:t>Kyustendil</w:t>
      </w:r>
      <w:proofErr w:type="spellEnd"/>
      <w:r w:rsidRPr="00E341A6">
        <w:rPr>
          <w:sz w:val="22"/>
          <w:szCs w:val="22"/>
          <w:shd w:val="clear" w:color="auto" w:fill="F5F5F5"/>
        </w:rPr>
        <w:t xml:space="preserve">, transportation and accommodation of participants from Serbia to participate in the joint camp </w:t>
      </w:r>
      <w:r>
        <w:rPr>
          <w:sz w:val="22"/>
          <w:szCs w:val="22"/>
          <w:shd w:val="clear" w:color="auto" w:fill="F5F5F5"/>
        </w:rPr>
        <w:t>and</w:t>
      </w:r>
      <w:r w:rsidRPr="00E341A6">
        <w:rPr>
          <w:sz w:val="22"/>
          <w:szCs w:val="22"/>
          <w:shd w:val="clear" w:color="auto" w:fill="F5F5F5"/>
        </w:rPr>
        <w:t xml:space="preserve"> 3 thematic fairs in </w:t>
      </w:r>
      <w:proofErr w:type="spellStart"/>
      <w:r w:rsidRPr="00E341A6">
        <w:rPr>
          <w:sz w:val="22"/>
          <w:szCs w:val="22"/>
          <w:shd w:val="clear" w:color="auto" w:fill="F5F5F5"/>
        </w:rPr>
        <w:t>Kyustendil</w:t>
      </w:r>
      <w:proofErr w:type="spellEnd"/>
      <w:r w:rsidRPr="00E341A6">
        <w:rPr>
          <w:sz w:val="22"/>
          <w:szCs w:val="22"/>
          <w:shd w:val="clear" w:color="auto" w:fill="F5F5F5"/>
        </w:rPr>
        <w:t>.</w:t>
      </w:r>
      <w:proofErr w:type="gramEnd"/>
      <w:r w:rsidRPr="00E341A6">
        <w:rPr>
          <w:sz w:val="22"/>
          <w:szCs w:val="22"/>
          <w:shd w:val="clear" w:color="auto" w:fill="F5F5F5"/>
        </w:rPr>
        <w:t xml:space="preserve"> </w:t>
      </w:r>
      <w:proofErr w:type="gramStart"/>
      <w:r w:rsidRPr="00E341A6">
        <w:rPr>
          <w:sz w:val="22"/>
          <w:szCs w:val="22"/>
          <w:shd w:val="clear" w:color="auto" w:fill="F5F5F5"/>
        </w:rPr>
        <w:t xml:space="preserve">Providing space and equipment for joint camp and opening press conference in </w:t>
      </w:r>
      <w:proofErr w:type="spellStart"/>
      <w:r w:rsidRPr="00E341A6">
        <w:rPr>
          <w:sz w:val="22"/>
          <w:szCs w:val="22"/>
          <w:shd w:val="clear" w:color="auto" w:fill="F5F5F5"/>
        </w:rPr>
        <w:t>Vladicin</w:t>
      </w:r>
      <w:proofErr w:type="spellEnd"/>
      <w:r w:rsidRPr="00E341A6">
        <w:rPr>
          <w:sz w:val="22"/>
          <w:szCs w:val="22"/>
          <w:shd w:val="clear" w:color="auto" w:fill="F5F5F5"/>
        </w:rPr>
        <w:t xml:space="preserve"> Han, as well as catering for participants of opening press conference, joint camp and 3 thematic fairs in </w:t>
      </w:r>
      <w:proofErr w:type="spellStart"/>
      <w:r w:rsidRPr="00E341A6">
        <w:rPr>
          <w:sz w:val="22"/>
          <w:szCs w:val="22"/>
          <w:shd w:val="clear" w:color="auto" w:fill="F5F5F5"/>
        </w:rPr>
        <w:t>Vladicin</w:t>
      </w:r>
      <w:proofErr w:type="spellEnd"/>
      <w:r w:rsidRPr="00E341A6">
        <w:rPr>
          <w:sz w:val="22"/>
          <w:szCs w:val="22"/>
          <w:shd w:val="clear" w:color="auto" w:fill="F5F5F5"/>
        </w:rPr>
        <w:t xml:space="preserve"> Han.</w:t>
      </w:r>
      <w:proofErr w:type="gramEnd"/>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542A21">
        <w:rPr>
          <w:rStyle w:val="Emphasis"/>
          <w:i w:val="0"/>
          <w:sz w:val="22"/>
          <w:szCs w:val="22"/>
          <w:lang w:val="en-GB"/>
        </w:rPr>
        <w:t>O</w:t>
      </w:r>
      <w:r w:rsidR="00DA0ABA" w:rsidRPr="00542A21">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542A21" w:rsidRDefault="00542A21" w:rsidP="00542A21">
      <w:pPr>
        <w:ind w:left="709" w:hanging="349"/>
        <w:outlineLvl w:val="0"/>
        <w:rPr>
          <w:sz w:val="22"/>
          <w:szCs w:val="22"/>
          <w:lang w:val="en-GB"/>
        </w:rPr>
      </w:pPr>
      <w:r w:rsidRPr="00542A21">
        <w:rPr>
          <w:rStyle w:val="Strong"/>
          <w:sz w:val="22"/>
          <w:szCs w:val="22"/>
          <w:lang w:val="en-GB"/>
        </w:rPr>
        <w:t>37.726,00</w:t>
      </w:r>
      <w:r w:rsidR="00DA0ABA" w:rsidRPr="00542A21">
        <w:rPr>
          <w:rStyle w:val="Strong"/>
          <w:sz w:val="22"/>
          <w:szCs w:val="22"/>
          <w:lang w:val="en-GB"/>
        </w:rPr>
        <w:t xml:space="preserve"> </w:t>
      </w:r>
      <w:r w:rsidR="00971962" w:rsidRPr="00542A21">
        <w:rPr>
          <w:sz w:val="22"/>
          <w:szCs w:val="22"/>
          <w:lang w:val="en-GB"/>
        </w:rPr>
        <w:t>EUR</w:t>
      </w:r>
      <w:r w:rsidR="004F1360">
        <w:rPr>
          <w:sz w:val="22"/>
          <w:szCs w:val="22"/>
          <w:lang w:val="en-GB"/>
        </w:rPr>
        <w:t xml:space="preserve"> /</w:t>
      </w:r>
      <w:r w:rsidR="004F1360">
        <w:rPr>
          <w:sz w:val="22"/>
          <w:szCs w:val="22"/>
        </w:rPr>
        <w:t>VAT excluded/</w:t>
      </w:r>
    </w:p>
    <w:p w:rsidR="006F5FD0" w:rsidRPr="00B33EE6" w:rsidRDefault="008667BE">
      <w:pPr>
        <w:pStyle w:val="Blockquote"/>
        <w:jc w:val="both"/>
        <w:rPr>
          <w:sz w:val="22"/>
          <w:szCs w:val="22"/>
          <w:lang w:val="en-GB"/>
        </w:rPr>
      </w:pPr>
      <w:r>
        <w:rPr>
          <w:noProof/>
          <w:snapToGrid/>
          <w:sz w:val="22"/>
          <w:szCs w:val="22"/>
          <w:lang w:val="sr-Latn-RS" w:eastAsia="sr-Latn-RS"/>
        </w:rPr>
        <mc:AlternateContent>
          <mc:Choice Requires="wps">
            <w:drawing>
              <wp:anchor distT="0" distB="0" distL="114300" distR="114300" simplePos="0" relativeHeight="251656704" behindDoc="0" locked="0" layoutInCell="0" allowOverlap="1">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jM6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" o:allowincell="f" strokecolor="#d4d4d4" strokeweight="1.75pt">
                <v:shadow on="t" origin=".5,-.5" offset="0,-1pt"/>
              </v:line>
            </w:pict>
          </mc:Fallback>
        </mc:AlternateContent>
      </w:r>
    </w:p>
    <w:p w:rsidR="004F1360" w:rsidRDefault="004F1360" w:rsidP="00D517A4">
      <w:pPr>
        <w:jc w:val="center"/>
        <w:rPr>
          <w:rStyle w:val="Strong"/>
          <w:sz w:val="28"/>
          <w:szCs w:val="28"/>
          <w:lang w:val="en-GB"/>
        </w:rPr>
      </w:pP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B766F9" w:rsidRDefault="00D93082" w:rsidP="005942F2">
      <w:pPr>
        <w:widowControl/>
        <w:spacing w:before="360" w:after="360"/>
        <w:ind w:left="426"/>
        <w:jc w:val="both"/>
        <w:rPr>
          <w:sz w:val="22"/>
          <w:szCs w:val="22"/>
          <w:lang w:val="en-GB"/>
        </w:rPr>
      </w:pPr>
      <w:r w:rsidRPr="005942F2">
        <w:rPr>
          <w:sz w:val="22"/>
          <w:szCs w:val="22"/>
          <w:lang w:val="en-GB"/>
        </w:rPr>
        <w:t xml:space="preserve">Participation is open to all </w:t>
      </w:r>
      <w:r w:rsidRPr="005942F2">
        <w:rPr>
          <w:rFonts w:eastAsia="Calibri" w:cs="Arial"/>
          <w:szCs w:val="24"/>
          <w:lang w:val="en-GB"/>
        </w:rPr>
        <w:t xml:space="preserve">natural persons who are nationals of and </w:t>
      </w:r>
      <w:r w:rsidRPr="005942F2">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5942F2">
        <w:rPr>
          <w:rFonts w:eastAsia="Calibri" w:cs="Arial"/>
          <w:bCs/>
          <w:szCs w:val="24"/>
          <w:lang w:val="en-GB"/>
        </w:rPr>
        <w:t xml:space="preserve">the Regulation </w:t>
      </w:r>
      <w:r w:rsidRPr="005942F2">
        <w:rPr>
          <w:szCs w:val="24"/>
          <w:lang w:val="en-GB"/>
        </w:rPr>
        <w:t xml:space="preserve">(EU) </w:t>
      </w:r>
      <w:r w:rsidR="00FE4E4B" w:rsidRPr="005942F2">
        <w:rPr>
          <w:szCs w:val="24"/>
          <w:lang w:val="en-GB"/>
        </w:rPr>
        <w:t>No </w:t>
      </w:r>
      <w:r w:rsidRPr="005942F2">
        <w:rPr>
          <w:rFonts w:eastAsia="MS Mincho"/>
          <w:noProof/>
          <w:szCs w:val="24"/>
          <w:lang w:val="en-GB" w:eastAsia="ja-JP"/>
        </w:rPr>
        <w:t xml:space="preserve">236/2014 </w:t>
      </w:r>
      <w:r w:rsidRPr="005942F2">
        <w:rPr>
          <w:rFonts w:eastAsia="Calibri" w:cs="Arial"/>
          <w:bCs/>
          <w:szCs w:val="24"/>
          <w:lang w:val="en-GB"/>
        </w:rPr>
        <w:t xml:space="preserve">establishing common rules and procedures for the implementation of the Union's instruments for external action (CIR) </w:t>
      </w:r>
      <w:r w:rsidRPr="005942F2">
        <w:rPr>
          <w:sz w:val="22"/>
          <w:szCs w:val="22"/>
          <w:lang w:val="en-GB"/>
        </w:rPr>
        <w:t xml:space="preserve">for the applicable </w:t>
      </w:r>
      <w:r w:rsidR="00FE4E4B" w:rsidRPr="005942F2">
        <w:rPr>
          <w:sz w:val="22"/>
          <w:szCs w:val="22"/>
          <w:lang w:val="en-GB"/>
        </w:rPr>
        <w:t>i</w:t>
      </w:r>
      <w:r w:rsidRPr="005942F2">
        <w:rPr>
          <w:sz w:val="22"/>
          <w:szCs w:val="22"/>
          <w:lang w:val="en-GB"/>
        </w:rPr>
        <w:t>nstrument under which the contract is financed (see also heading 2</w:t>
      </w:r>
      <w:r w:rsidR="00A504E1" w:rsidRPr="005942F2">
        <w:rPr>
          <w:sz w:val="22"/>
          <w:szCs w:val="22"/>
          <w:lang w:val="en-GB"/>
        </w:rPr>
        <w:t>3</w:t>
      </w:r>
      <w:r w:rsidRPr="005942F2">
        <w:rPr>
          <w:sz w:val="22"/>
          <w:szCs w:val="22"/>
          <w:lang w:val="en-GB"/>
        </w:rPr>
        <w:t xml:space="preserve"> below)</w:t>
      </w:r>
      <w:r w:rsidRPr="005942F2">
        <w:rPr>
          <w:rFonts w:eastAsia="Calibri" w:cs="Arial"/>
          <w:szCs w:val="24"/>
          <w:lang w:val="en-GB"/>
        </w:rPr>
        <w:t>.</w:t>
      </w:r>
      <w:r w:rsidRPr="005942F2">
        <w:rPr>
          <w:rFonts w:eastAsia="Calibri" w:cs="Arial"/>
          <w:sz w:val="22"/>
          <w:szCs w:val="22"/>
          <w:lang w:val="en-GB"/>
        </w:rPr>
        <w:t xml:space="preserve"> </w:t>
      </w:r>
      <w:r w:rsidRPr="005942F2">
        <w:rPr>
          <w:sz w:val="22"/>
          <w:szCs w:val="22"/>
          <w:lang w:val="en-GB"/>
        </w:rPr>
        <w:t>Participation is also open to international organisations.</w:t>
      </w: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w:t>
      </w:r>
      <w:proofErr w:type="gramStart"/>
      <w:r w:rsidRPr="00B33EE6">
        <w:rPr>
          <w:sz w:val="22"/>
          <w:szCs w:val="22"/>
          <w:lang w:val="en-GB"/>
        </w:rPr>
        <w:t>of</w:t>
      </w:r>
      <w:proofErr w:type="gramEnd"/>
      <w:r w:rsidRPr="00B33EE6">
        <w:rPr>
          <w:sz w:val="22"/>
          <w:szCs w:val="22"/>
          <w:lang w:val="en-GB"/>
        </w:rPr>
        <w:t xml:space="preserve">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8667BE">
      <w:pPr>
        <w:keepNext/>
        <w:jc w:val="center"/>
        <w:rPr>
          <w:sz w:val="28"/>
          <w:szCs w:val="28"/>
          <w:lang w:val="en-GB"/>
        </w:rPr>
      </w:pPr>
      <w:r>
        <w:rPr>
          <w:noProof/>
          <w:snapToGrid/>
          <w:sz w:val="22"/>
          <w:szCs w:val="22"/>
          <w:lang w:val="sr-Latn-RS" w:eastAsia="sr-Latn-RS"/>
        </w:rPr>
        <mc:AlternateContent>
          <mc:Choice Requires="wps">
            <w:drawing>
              <wp:anchor distT="0" distB="0" distL="114300" distR="114300" simplePos="0" relativeHeight="251657728" behindDoc="0" locked="0" layoutInCell="0" allowOverlap="1">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nb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" o:allowincell="f" strokecolor="#d4d4d4" strokeweight="1.75pt">
                <v:shadow on="t" origin=".5,-.5" offset="0,-1pt"/>
              </v:line>
            </w:pict>
          </mc:Fallback>
        </mc:AlternateConten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3D0BD9" w:rsidRDefault="003D0BD9" w:rsidP="00571687">
      <w:pPr>
        <w:pStyle w:val="Blockquote"/>
        <w:jc w:val="both"/>
        <w:rPr>
          <w:i/>
          <w:sz w:val="22"/>
          <w:szCs w:val="22"/>
          <w:lang w:val="en-GB"/>
        </w:rPr>
      </w:pPr>
      <w:proofErr w:type="gramStart"/>
      <w:r w:rsidRPr="003D0BD9">
        <w:rPr>
          <w:rStyle w:val="Emphasis"/>
          <w:i w:val="0"/>
          <w:sz w:val="22"/>
          <w:szCs w:val="22"/>
          <w:lang w:val="en-GB"/>
        </w:rPr>
        <w:t>06.11.2020.</w:t>
      </w:r>
      <w:proofErr w:type="gramEnd"/>
    </w:p>
    <w:p w:rsidR="006F5FD0" w:rsidRPr="003D0BD9" w:rsidRDefault="005639EC" w:rsidP="00571687">
      <w:pPr>
        <w:ind w:left="709" w:hanging="349"/>
        <w:outlineLvl w:val="0"/>
        <w:rPr>
          <w:sz w:val="22"/>
          <w:szCs w:val="22"/>
          <w:lang w:val="en-GB"/>
        </w:rPr>
      </w:pPr>
      <w:r w:rsidRPr="003D0BD9">
        <w:rPr>
          <w:rStyle w:val="Strong"/>
          <w:sz w:val="22"/>
          <w:szCs w:val="22"/>
          <w:lang w:val="en-GB"/>
        </w:rPr>
        <w:t>15</w:t>
      </w:r>
      <w:r w:rsidR="006F5FD0" w:rsidRPr="003D0BD9">
        <w:rPr>
          <w:rStyle w:val="Strong"/>
          <w:sz w:val="22"/>
          <w:szCs w:val="22"/>
          <w:lang w:val="en-GB"/>
        </w:rPr>
        <w:t xml:space="preserve">. </w:t>
      </w:r>
      <w:r w:rsidR="00584BF4" w:rsidRPr="003D0BD9">
        <w:rPr>
          <w:rStyle w:val="Strong"/>
          <w:sz w:val="22"/>
          <w:szCs w:val="22"/>
          <w:lang w:val="en-GB"/>
        </w:rPr>
        <w:tab/>
      </w:r>
      <w:r w:rsidRPr="003D0BD9">
        <w:rPr>
          <w:rStyle w:val="Strong"/>
          <w:sz w:val="22"/>
          <w:szCs w:val="22"/>
          <w:lang w:val="en-GB"/>
        </w:rPr>
        <w:t>Implementation</w:t>
      </w:r>
      <w:r w:rsidR="006F5FD0" w:rsidRPr="003D0BD9">
        <w:rPr>
          <w:rStyle w:val="Strong"/>
          <w:sz w:val="22"/>
          <w:szCs w:val="22"/>
          <w:lang w:val="en-GB"/>
        </w:rPr>
        <w:t xml:space="preserve"> period of </w:t>
      </w:r>
      <w:r w:rsidRPr="003D0BD9">
        <w:rPr>
          <w:rStyle w:val="Strong"/>
          <w:sz w:val="22"/>
          <w:szCs w:val="22"/>
          <w:lang w:val="en-GB"/>
        </w:rPr>
        <w:t>the</w:t>
      </w:r>
      <w:r w:rsidR="00476D80" w:rsidRPr="003D0BD9">
        <w:rPr>
          <w:rStyle w:val="Strong"/>
          <w:sz w:val="22"/>
          <w:szCs w:val="22"/>
          <w:lang w:val="en-GB"/>
        </w:rPr>
        <w:t xml:space="preserve"> tasks </w:t>
      </w:r>
    </w:p>
    <w:p w:rsidR="006F5FD0" w:rsidRPr="00B33EE6" w:rsidRDefault="001F4730" w:rsidP="00571687">
      <w:pPr>
        <w:pStyle w:val="Blockquote"/>
        <w:jc w:val="both"/>
        <w:rPr>
          <w:i/>
          <w:sz w:val="22"/>
          <w:szCs w:val="22"/>
          <w:lang w:val="en-GB"/>
        </w:rPr>
      </w:pPr>
      <w:r w:rsidRPr="003D0BD9">
        <w:rPr>
          <w:rStyle w:val="Emphasis"/>
          <w:i w:val="0"/>
          <w:sz w:val="22"/>
          <w:szCs w:val="22"/>
          <w:lang w:val="en-GB"/>
        </w:rPr>
        <w:t>November 2020 to September 2021</w:t>
      </w:r>
      <w:bookmarkStart w:id="14" w:name="_GoBack"/>
      <w:bookmarkEnd w:id="14"/>
    </w:p>
    <w:p w:rsidR="006F5FD0" w:rsidRPr="00B33EE6" w:rsidRDefault="008667BE">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8752"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iG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1GVvvvwrdR5aDPO4KzNLwDQX1Bj8nf&#10;BAZNBwpB3diYPx/Sh9VsNctH+bhYjfK0rkef1st8VKyz+2k9qZfLOvsVQmZ52QrGuAoaXYYky/+u&#10;CYdxPbf3dUyu1Uhu0c/MjyAWCHghHZsq9NG5I7eanTb20mwwF9F4mOEweG/PsH/7p1n8Bg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B5x+IZ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rsidR="004F1360" w:rsidRDefault="004F1360">
      <w:pPr>
        <w:jc w:val="center"/>
        <w:rPr>
          <w:rStyle w:val="Strong"/>
          <w:sz w:val="28"/>
          <w:szCs w:val="28"/>
          <w:lang w:val="en-GB"/>
        </w:rPr>
      </w:pPr>
    </w:p>
    <w:p w:rsidR="006F5FD0" w:rsidRPr="00B33EE6" w:rsidRDefault="006F5FD0">
      <w:pPr>
        <w:jc w:val="center"/>
        <w:rPr>
          <w:sz w:val="28"/>
          <w:szCs w:val="28"/>
          <w:lang w:val="en-GB"/>
        </w:rPr>
      </w:pPr>
      <w:r w:rsidRPr="00B33EE6">
        <w:rPr>
          <w:rStyle w:val="Strong"/>
          <w:sz w:val="28"/>
          <w:szCs w:val="28"/>
          <w:lang w:val="en-GB"/>
        </w:rPr>
        <w:lastRenderedPageBreak/>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8A5B32">
        <w:rPr>
          <w:sz w:val="22"/>
          <w:szCs w:val="22"/>
          <w:lang w:val="en-GB"/>
        </w:rPr>
        <w:t>,</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235A71" w:rsidRPr="008A5B32" w:rsidRDefault="00235A71" w:rsidP="00E147D3">
      <w:pPr>
        <w:pStyle w:val="Blockquote"/>
        <w:tabs>
          <w:tab w:val="left" w:pos="284"/>
        </w:tabs>
        <w:ind w:left="720"/>
        <w:jc w:val="both"/>
        <w:rPr>
          <w:sz w:val="22"/>
          <w:szCs w:val="22"/>
          <w:lang w:val="en-GB"/>
        </w:rPr>
      </w:pPr>
      <w:r w:rsidRPr="008A5B32">
        <w:rPr>
          <w:sz w:val="22"/>
          <w:szCs w:val="22"/>
          <w:lang w:val="en-GB"/>
        </w:rPr>
        <w:t xml:space="preserve">Criteria for legal and natural persons: </w:t>
      </w:r>
      <w:r w:rsidRPr="008A5B32" w:rsidDel="006C0EB6">
        <w:rPr>
          <w:sz w:val="22"/>
          <w:szCs w:val="22"/>
          <w:lang w:val="en-GB"/>
        </w:rPr>
        <w:t xml:space="preserve"> </w:t>
      </w:r>
    </w:p>
    <w:p w:rsidR="000A2F9A" w:rsidRDefault="000A2F9A" w:rsidP="000A2F9A">
      <w:pPr>
        <w:pStyle w:val="Blockquote"/>
        <w:numPr>
          <w:ilvl w:val="0"/>
          <w:numId w:val="36"/>
        </w:numPr>
        <w:tabs>
          <w:tab w:val="clear" w:pos="360"/>
          <w:tab w:val="num" w:pos="709"/>
        </w:tabs>
        <w:ind w:left="426" w:right="357" w:firstLine="0"/>
        <w:jc w:val="both"/>
        <w:rPr>
          <w:sz w:val="22"/>
          <w:szCs w:val="22"/>
          <w:lang w:val="en-GB"/>
        </w:rPr>
      </w:pPr>
      <w:r w:rsidRPr="00715117">
        <w:rPr>
          <w:sz w:val="22"/>
          <w:szCs w:val="22"/>
          <w:lang w:val="en-GB"/>
        </w:rPr>
        <w:t>The average annual turnover of the tenderer over the last three years</w:t>
      </w:r>
      <w:r>
        <w:rPr>
          <w:sz w:val="22"/>
          <w:szCs w:val="22"/>
          <w:lang w:val="en-GB"/>
        </w:rPr>
        <w:t xml:space="preserve"> for which accounts have </w:t>
      </w:r>
      <w:r w:rsidRPr="008A5B32">
        <w:rPr>
          <w:sz w:val="22"/>
          <w:szCs w:val="22"/>
          <w:lang w:val="en-GB"/>
        </w:rPr>
        <w:t>been closed</w:t>
      </w:r>
      <w:r>
        <w:rPr>
          <w:sz w:val="22"/>
          <w:szCs w:val="22"/>
          <w:lang w:val="en-GB"/>
        </w:rPr>
        <w:t xml:space="preserve"> must exceed 30.000.00 EUR (</w:t>
      </w:r>
      <w:r w:rsidRPr="00347069">
        <w:rPr>
          <w:sz w:val="22"/>
          <w:szCs w:val="22"/>
        </w:rPr>
        <w:t xml:space="preserve">equal in RSD in currency exchange rate of the </w:t>
      </w:r>
      <w:proofErr w:type="spellStart"/>
      <w:r w:rsidRPr="00347069">
        <w:rPr>
          <w:sz w:val="22"/>
          <w:szCs w:val="22"/>
        </w:rPr>
        <w:t>InforEuro</w:t>
      </w:r>
      <w:proofErr w:type="spellEnd"/>
      <w:r w:rsidRPr="00347069">
        <w:rPr>
          <w:sz w:val="22"/>
          <w:szCs w:val="22"/>
        </w:rPr>
        <w:t xml:space="preserve"> at the month of launching the tender</w:t>
      </w:r>
      <w:r>
        <w:rPr>
          <w:sz w:val="22"/>
          <w:szCs w:val="22"/>
          <w:lang w:val="en-GB"/>
        </w:rPr>
        <w:t>)</w:t>
      </w:r>
    </w:p>
    <w:p w:rsidR="00235A71" w:rsidRPr="000A2F9A" w:rsidRDefault="008A5B32" w:rsidP="000A2F9A">
      <w:pPr>
        <w:pStyle w:val="Blockquote"/>
        <w:numPr>
          <w:ilvl w:val="0"/>
          <w:numId w:val="36"/>
        </w:numPr>
        <w:shd w:val="clear" w:color="auto" w:fill="FFFFFF"/>
        <w:tabs>
          <w:tab w:val="clear" w:pos="360"/>
          <w:tab w:val="num" w:pos="720"/>
        </w:tabs>
        <w:ind w:left="720"/>
        <w:jc w:val="both"/>
        <w:rPr>
          <w:sz w:val="22"/>
          <w:szCs w:val="22"/>
          <w:lang w:val="en-GB"/>
        </w:rPr>
      </w:pPr>
      <w:r w:rsidRPr="000A2F9A">
        <w:rPr>
          <w:sz w:val="22"/>
          <w:szCs w:val="22"/>
          <w:lang w:val="en-GB"/>
        </w:rPr>
        <w:t>Current ratio (current assets/current liabilities) in the last year for which accounts have been closed must be at least 1. In case of a consortium this criterion must be fulfilled by each member.</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0A2F9A" w:rsidRPr="009C085A" w:rsidRDefault="000A2F9A" w:rsidP="000A2F9A">
      <w:pPr>
        <w:pStyle w:val="Blockquote"/>
        <w:numPr>
          <w:ilvl w:val="0"/>
          <w:numId w:val="44"/>
        </w:numPr>
        <w:snapToGrid w:val="0"/>
        <w:spacing w:before="0" w:after="120"/>
        <w:ind w:left="1080" w:right="357"/>
        <w:jc w:val="both"/>
        <w:rPr>
          <w:sz w:val="22"/>
        </w:rPr>
      </w:pPr>
      <w:r>
        <w:rPr>
          <w:sz w:val="22"/>
        </w:rPr>
        <w:t>The tenderer h</w:t>
      </w:r>
      <w:r w:rsidRPr="009C085A">
        <w:rPr>
          <w:sz w:val="22"/>
        </w:rPr>
        <w:t xml:space="preserve">as sufficient staff resources and expertise to be able to handle the proposed contract “Sufficient” means at least </w:t>
      </w:r>
      <w:r>
        <w:rPr>
          <w:sz w:val="22"/>
        </w:rPr>
        <w:t>2</w:t>
      </w:r>
      <w:r w:rsidRPr="009C085A">
        <w:rPr>
          <w:sz w:val="22"/>
        </w:rPr>
        <w:t xml:space="preserve"> (</w:t>
      </w:r>
      <w:r>
        <w:rPr>
          <w:sz w:val="22"/>
        </w:rPr>
        <w:t>two</w:t>
      </w:r>
      <w:r w:rsidRPr="009C085A">
        <w:rPr>
          <w:sz w:val="22"/>
        </w:rPr>
        <w:t xml:space="preserve">) </w:t>
      </w:r>
      <w:r>
        <w:rPr>
          <w:sz w:val="22"/>
        </w:rPr>
        <w:t>peoples</w:t>
      </w:r>
      <w:r w:rsidRPr="009C085A">
        <w:rPr>
          <w:sz w:val="22"/>
        </w:rPr>
        <w:t xml:space="preserve"> available to work in fields related to this contract</w:t>
      </w:r>
      <w:r>
        <w:rPr>
          <w:sz w:val="22"/>
        </w:rPr>
        <w:t>.</w:t>
      </w:r>
    </w:p>
    <w:p w:rsidR="005218E5" w:rsidRPr="000A2F9A" w:rsidRDefault="00BE08EC" w:rsidP="000A2F9A">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537B25">
        <w:rPr>
          <w:sz w:val="22"/>
          <w:szCs w:val="22"/>
          <w:lang w:val="en-GB"/>
        </w:rPr>
        <w:t>three</w:t>
      </w:r>
      <w:r w:rsidR="00862885" w:rsidRPr="00537B25">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0A2F9A" w:rsidRPr="009C085A" w:rsidRDefault="000A2F9A" w:rsidP="000A2F9A">
      <w:pPr>
        <w:pStyle w:val="Blockquote"/>
        <w:numPr>
          <w:ilvl w:val="0"/>
          <w:numId w:val="34"/>
        </w:numPr>
        <w:tabs>
          <w:tab w:val="clear" w:pos="360"/>
          <w:tab w:val="left" w:pos="709"/>
        </w:tabs>
        <w:snapToGrid w:val="0"/>
        <w:spacing w:before="0" w:after="120"/>
        <w:ind w:left="992" w:hanging="283"/>
        <w:jc w:val="both"/>
        <w:rPr>
          <w:sz w:val="22"/>
        </w:rPr>
      </w:pPr>
      <w:proofErr w:type="gramStart"/>
      <w:r w:rsidRPr="009C085A">
        <w:rPr>
          <w:sz w:val="22"/>
        </w:rPr>
        <w:t>the</w:t>
      </w:r>
      <w:proofErr w:type="gramEnd"/>
      <w:r w:rsidRPr="009C085A">
        <w:rPr>
          <w:sz w:val="22"/>
        </w:rPr>
        <w:t xml:space="preserve"> tenderer has provided services under at least 1 (one) contract in the field of </w:t>
      </w:r>
      <w:r>
        <w:rPr>
          <w:sz w:val="22"/>
        </w:rPr>
        <w:t>logistic of events</w:t>
      </w:r>
      <w:r w:rsidRPr="009C085A">
        <w:rPr>
          <w:sz w:val="22"/>
        </w:rPr>
        <w:t xml:space="preserve"> and at least 1 (one) contract in the field of </w:t>
      </w:r>
      <w:r>
        <w:rPr>
          <w:szCs w:val="24"/>
        </w:rPr>
        <w:t>provision of  accommodations for participants in the events</w:t>
      </w:r>
      <w:r w:rsidRPr="009C085A">
        <w:rPr>
          <w:sz w:val="22"/>
        </w:rPr>
        <w:t xml:space="preserve">, which was implemented at any moment during the following period: </w:t>
      </w:r>
      <w:r w:rsidRPr="00B33EE6">
        <w:rPr>
          <w:sz w:val="22"/>
          <w:szCs w:val="22"/>
          <w:lang w:val="en-GB"/>
        </w:rPr>
        <w:t xml:space="preserve">last three </w:t>
      </w:r>
      <w:r>
        <w:rPr>
          <w:sz w:val="22"/>
          <w:szCs w:val="22"/>
          <w:lang w:val="en-GB"/>
        </w:rPr>
        <w:t xml:space="preserve">financial </w:t>
      </w:r>
      <w:r w:rsidRPr="00B33EE6">
        <w:rPr>
          <w:sz w:val="22"/>
          <w:szCs w:val="22"/>
          <w:lang w:val="en-GB"/>
        </w:rPr>
        <w:t>years</w:t>
      </w:r>
      <w:r w:rsidRPr="009C085A">
        <w:rPr>
          <w:sz w:val="22"/>
        </w:rPr>
        <w:t xml:space="preserve">. </w:t>
      </w:r>
    </w:p>
    <w:p w:rsidR="000A2F9A" w:rsidRPr="00B33EE6" w:rsidRDefault="000A2F9A" w:rsidP="000A2F9A">
      <w:pPr>
        <w:pStyle w:val="Blockquote"/>
        <w:jc w:val="both"/>
        <w:rPr>
          <w:sz w:val="22"/>
          <w:szCs w:val="22"/>
          <w:lang w:val="en-GB"/>
        </w:rPr>
      </w:pPr>
      <w:r w:rsidRPr="00B33EE6">
        <w:rPr>
          <w:sz w:val="22"/>
          <w:szCs w:val="22"/>
          <w:lang w:val="en-GB"/>
        </w:rPr>
        <w:t xml:space="preserve">Previous experience which would have led to breach of contract and termination by a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0A2F9A" w:rsidRPr="00B33EE6" w:rsidRDefault="000A2F9A" w:rsidP="000A2F9A">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that it will have at its disposal the resources necessary for </w:t>
      </w:r>
      <w:r>
        <w:rPr>
          <w:sz w:val="22"/>
          <w:szCs w:val="22"/>
          <w:lang w:val="en-GB"/>
        </w:rPr>
        <w:t xml:space="preserve">the </w:t>
      </w:r>
      <w:r w:rsidRPr="00B33EE6">
        <w:rPr>
          <w:sz w:val="22"/>
          <w:szCs w:val="22"/>
          <w:lang w:val="en-GB"/>
        </w:rPr>
        <w:t xml:space="preserve">performance of the contract by producing a commitment </w:t>
      </w:r>
      <w:r>
        <w:rPr>
          <w:sz w:val="22"/>
          <w:szCs w:val="22"/>
          <w:lang w:val="en-GB"/>
        </w:rPr>
        <w:t xml:space="preserve">by </w:t>
      </w:r>
      <w:r w:rsidRPr="00B33EE6">
        <w:rPr>
          <w:sz w:val="22"/>
          <w:szCs w:val="22"/>
          <w:lang w:val="en-GB"/>
        </w:rPr>
        <w:t xml:space="preserve">those entities to place those resources at its disposal. Such entities, for instance the parent company of the economic operator, must respect the same rules of eligibility - notably that of nationality - and must </w:t>
      </w:r>
      <w:r w:rsidRPr="00AF0B6B">
        <w:rPr>
          <w:sz w:val="22"/>
          <w:szCs w:val="22"/>
          <w:lang w:val="en-GB"/>
        </w:rPr>
        <w:t>comply with the selection criteria for which the economic operator relies on them</w:t>
      </w:r>
      <w:r w:rsidRPr="00B33EE6">
        <w:rPr>
          <w:sz w:val="22"/>
          <w:szCs w:val="22"/>
          <w:lang w:val="en-GB"/>
        </w:rPr>
        <w:t xml:space="preserve">. </w:t>
      </w:r>
      <w:r w:rsidRPr="00C04FCE">
        <w:rPr>
          <w:sz w:val="22"/>
          <w:szCs w:val="22"/>
          <w:lang w:val="en-GB"/>
        </w:rPr>
        <w:t>Furthermore, the data for this third entity for the relevant selection criterion should be included in the tender in a separate document. Proof of the capac</w:t>
      </w:r>
      <w:r>
        <w:rPr>
          <w:sz w:val="22"/>
          <w:szCs w:val="22"/>
          <w:lang w:val="en-GB"/>
        </w:rPr>
        <w:t>ity will also have to be provid</w:t>
      </w:r>
      <w:r w:rsidRPr="00C04FCE">
        <w:rPr>
          <w:sz w:val="22"/>
          <w:szCs w:val="22"/>
          <w:lang w:val="en-GB"/>
        </w:rPr>
        <w:t>ed when requested by the contracting authority.</w:t>
      </w:r>
      <w:r>
        <w:rPr>
          <w:sz w:val="22"/>
          <w:szCs w:val="22"/>
          <w:lang w:val="en-GB"/>
        </w:rPr>
        <w:t xml:space="preserve"> </w:t>
      </w:r>
      <w:r w:rsidRPr="00B33EE6">
        <w:rPr>
          <w:sz w:val="22"/>
          <w:szCs w:val="22"/>
          <w:lang w:val="en-GB"/>
        </w:rPr>
        <w:t xml:space="preserve">With regard to technical and professional criteria, an economic operator may only rely on the capacities of other entities where the latter will perform </w:t>
      </w:r>
      <w:proofErr w:type="gramStart"/>
      <w:r w:rsidRPr="00B33EE6">
        <w:rPr>
          <w:sz w:val="22"/>
          <w:szCs w:val="22"/>
          <w:lang w:val="en-GB"/>
        </w:rPr>
        <w:t>the  services</w:t>
      </w:r>
      <w:proofErr w:type="gramEnd"/>
      <w:r w:rsidRPr="00B33EE6">
        <w:rPr>
          <w:sz w:val="22"/>
          <w:szCs w:val="22"/>
          <w:lang w:val="en-GB"/>
        </w:rPr>
        <w:t xml:space="preserve"> for which these capacities are required.</w:t>
      </w:r>
      <w:r w:rsidRPr="00B33EE6">
        <w:rPr>
          <w:sz w:val="22"/>
          <w:lang w:val="en-GB"/>
        </w:rPr>
        <w:t xml:space="preserve"> </w:t>
      </w:r>
      <w:r w:rsidRPr="00B33EE6">
        <w:rPr>
          <w:sz w:val="22"/>
          <w:szCs w:val="22"/>
          <w:lang w:val="en-GB"/>
        </w:rPr>
        <w:t>With regard to economic and financial criteria the entities upon whose capacity the tenderer relies become jointly and severally liable for the performance of the contract.</w:t>
      </w:r>
    </w:p>
    <w:p w:rsidR="000A2F9A" w:rsidRPr="00B33EE6" w:rsidRDefault="000A2F9A" w:rsidP="00B33EE6">
      <w:pPr>
        <w:pStyle w:val="Blockquote"/>
        <w:ind w:left="720" w:right="357" w:hanging="360"/>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lastRenderedPageBreak/>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8667BE">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9776"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yU1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1GVvvvwrdR5aDPO4LzNLwDQX1Bj8nf&#10;BAZNBwpB3diYPx/Sh9V8Nc9H+WS2GuVpVY0+rZf5aLbO7qfVXbVcVtmvEDLLi1YwxlXQ6DIkWf53&#10;TTiM67m9r2NyrUZyi35mfgSxQMAL6dhUoY/OHbnT7LS1l2aDuYjGwwyHwXt7hv3bP83iN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DMOyU1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9"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EA24AB" w:rsidP="004D5EDB">
      <w:pPr>
        <w:pStyle w:val="Blockquote"/>
        <w:jc w:val="both"/>
        <w:rPr>
          <w:sz w:val="22"/>
          <w:szCs w:val="22"/>
          <w:lang w:val="en-GB"/>
        </w:rPr>
      </w:pPr>
      <w:hyperlink r:id="rId10"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0A2F9A" w:rsidRPr="009C085A" w:rsidRDefault="000A2F9A" w:rsidP="000A2F9A">
      <w:pPr>
        <w:pStyle w:val="Blockquote"/>
        <w:numPr>
          <w:ilvl w:val="0"/>
          <w:numId w:val="45"/>
        </w:numPr>
        <w:snapToGrid w:val="0"/>
        <w:spacing w:before="0" w:after="120"/>
        <w:jc w:val="both"/>
        <w:rPr>
          <w:sz w:val="22"/>
        </w:rPr>
      </w:pPr>
      <w:r w:rsidRPr="009C085A">
        <w:rPr>
          <w:sz w:val="22"/>
        </w:rPr>
        <w:t xml:space="preserve">Regulation (EU) No 236/2014 of the European Parliament and of the Council of 11 March 2014 laying down common rules and procedures for the implementation of the Union's instruments for financing external action </w:t>
      </w:r>
    </w:p>
    <w:p w:rsidR="000A2F9A" w:rsidRPr="009C085A" w:rsidRDefault="000A2F9A" w:rsidP="000A2F9A">
      <w:pPr>
        <w:pStyle w:val="Blockquote"/>
        <w:numPr>
          <w:ilvl w:val="0"/>
          <w:numId w:val="45"/>
        </w:numPr>
        <w:snapToGrid w:val="0"/>
        <w:spacing w:before="0" w:after="120"/>
        <w:jc w:val="both"/>
        <w:rPr>
          <w:sz w:val="22"/>
        </w:rPr>
      </w:pPr>
      <w:r w:rsidRPr="009C085A">
        <w:rPr>
          <w:sz w:val="22"/>
        </w:rPr>
        <w:t>Commission Implementing Regulation (EU) No 447/2014 of 2 May 2014 on the specific rules for Implementing Regulation (EU) No 231/2014 of the European Parliament and of the Council establishing an instrument for Pre-accession Assistance (IPA II);</w:t>
      </w:r>
    </w:p>
    <w:p w:rsidR="000A2F9A" w:rsidRPr="009C085A" w:rsidRDefault="000A2F9A" w:rsidP="000A2F9A">
      <w:pPr>
        <w:pStyle w:val="Blockquote"/>
        <w:numPr>
          <w:ilvl w:val="0"/>
          <w:numId w:val="45"/>
        </w:numPr>
        <w:snapToGrid w:val="0"/>
        <w:spacing w:before="0" w:after="120"/>
        <w:jc w:val="both"/>
        <w:rPr>
          <w:sz w:val="22"/>
        </w:rPr>
      </w:pPr>
      <w:r w:rsidRPr="009C085A">
        <w:rPr>
          <w:sz w:val="22"/>
        </w:rPr>
        <w:t>Regulation (EU) No 1299/2013 of the European Parliament and of the Council of 17 December 2013 on specific provisions for the support from the European Regional Development Fund to the European Territorial Cooperation goal;</w:t>
      </w:r>
    </w:p>
    <w:p w:rsidR="000A2F9A" w:rsidRPr="009C085A" w:rsidRDefault="000A2F9A" w:rsidP="000A2F9A">
      <w:pPr>
        <w:pStyle w:val="Blockquote"/>
        <w:numPr>
          <w:ilvl w:val="0"/>
          <w:numId w:val="45"/>
        </w:numPr>
        <w:snapToGrid w:val="0"/>
        <w:spacing w:before="0" w:after="120"/>
        <w:jc w:val="both"/>
        <w:rPr>
          <w:sz w:val="22"/>
        </w:rPr>
      </w:pPr>
      <w:r w:rsidRPr="009C085A">
        <w:rPr>
          <w:sz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9C085A">
        <w:rPr>
          <w:sz w:val="22"/>
        </w:rPr>
        <w:t>programmes</w:t>
      </w:r>
      <w:proofErr w:type="spellEnd"/>
      <w:r w:rsidRPr="009C085A">
        <w:rPr>
          <w:sz w:val="22"/>
        </w:rPr>
        <w:t>;</w:t>
      </w:r>
    </w:p>
    <w:p w:rsidR="000A2F9A" w:rsidRPr="009C085A" w:rsidRDefault="000A2F9A" w:rsidP="000A2F9A">
      <w:pPr>
        <w:pStyle w:val="Blockquote"/>
        <w:numPr>
          <w:ilvl w:val="0"/>
          <w:numId w:val="45"/>
        </w:numPr>
        <w:snapToGrid w:val="0"/>
        <w:spacing w:before="0" w:after="120"/>
        <w:jc w:val="both"/>
        <w:rPr>
          <w:sz w:val="22"/>
        </w:rPr>
      </w:pPr>
      <w:r w:rsidRPr="009C085A">
        <w:rPr>
          <w:sz w:val="22"/>
        </w:rPr>
        <w:lastRenderedPageBreak/>
        <w:t>Regulation (EU) No 236/2014 of the European Parliament and of the Council of 11 March 2014 laying down common rules and procedures for the implementation of the union's instruments for financing external action;</w:t>
      </w:r>
    </w:p>
    <w:p w:rsidR="000A2F9A" w:rsidRPr="009C085A" w:rsidRDefault="000A2F9A" w:rsidP="000A2F9A">
      <w:pPr>
        <w:pStyle w:val="Blockquote"/>
        <w:numPr>
          <w:ilvl w:val="0"/>
          <w:numId w:val="45"/>
        </w:numPr>
        <w:snapToGrid w:val="0"/>
        <w:spacing w:before="0" w:after="120"/>
        <w:jc w:val="both"/>
        <w:rPr>
          <w:sz w:val="22"/>
        </w:rPr>
      </w:pPr>
      <w:r w:rsidRPr="009C085A">
        <w:rPr>
          <w:sz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0A2F9A" w:rsidRPr="009C085A" w:rsidRDefault="000A2F9A" w:rsidP="000A2F9A">
      <w:pPr>
        <w:pStyle w:val="Blockquote"/>
        <w:numPr>
          <w:ilvl w:val="0"/>
          <w:numId w:val="45"/>
        </w:numPr>
        <w:snapToGrid w:val="0"/>
        <w:spacing w:before="0" w:after="120"/>
        <w:jc w:val="both"/>
        <w:rPr>
          <w:sz w:val="22"/>
        </w:rPr>
      </w:pPr>
      <w:r w:rsidRPr="009C085A">
        <w:rPr>
          <w:sz w:val="22"/>
        </w:rPr>
        <w:t xml:space="preserve">Regulation (EU, EURATOM) No 966/2012 of the European Parliament and of the Council of 25 October 2012 on the financial rules applicable to the general budget of the </w:t>
      </w:r>
      <w:smartTag w:uri="urn:schemas-microsoft-com:office:smarttags" w:element="place">
        <w:r w:rsidRPr="009C085A">
          <w:rPr>
            <w:sz w:val="22"/>
          </w:rPr>
          <w:t>Union</w:t>
        </w:r>
      </w:smartTag>
      <w:r w:rsidRPr="009C085A">
        <w:rPr>
          <w:sz w:val="22"/>
        </w:rPr>
        <w:t xml:space="preserve"> and repealing Council Regulation (EC, EURATOM) No 1605/2002;</w:t>
      </w:r>
    </w:p>
    <w:p w:rsidR="000A2F9A" w:rsidRPr="009C085A" w:rsidRDefault="000A2F9A" w:rsidP="000A2F9A">
      <w:pPr>
        <w:pStyle w:val="Blockquote"/>
        <w:numPr>
          <w:ilvl w:val="0"/>
          <w:numId w:val="45"/>
        </w:numPr>
        <w:snapToGrid w:val="0"/>
        <w:spacing w:before="0" w:after="120"/>
        <w:jc w:val="both"/>
        <w:rPr>
          <w:sz w:val="22"/>
        </w:rPr>
      </w:pPr>
      <w:r w:rsidRPr="009C085A">
        <w:rPr>
          <w:sz w:val="22"/>
        </w:rPr>
        <w:t xml:space="preserve">Commission Delegated Regulation (EU) No 1268/2012 of 29 October 2012 on the rules of application of Regulation (EU, EURATOM) No 966/2012 of the European Parliament and of the Council on the financial rules applicable to the general budget of the </w:t>
      </w:r>
      <w:smartTag w:uri="urn:schemas-microsoft-com:office:smarttags" w:element="place">
        <w:r w:rsidRPr="009C085A">
          <w:rPr>
            <w:sz w:val="22"/>
          </w:rPr>
          <w:t>Union</w:t>
        </w:r>
      </w:smartTag>
      <w:r w:rsidRPr="009C085A">
        <w:rPr>
          <w:sz w:val="22"/>
        </w:rPr>
        <w:t>;</w:t>
      </w:r>
    </w:p>
    <w:p w:rsidR="000A2F9A" w:rsidRPr="009C085A" w:rsidRDefault="000A2F9A" w:rsidP="000A2F9A">
      <w:pPr>
        <w:pStyle w:val="Blockquote"/>
        <w:numPr>
          <w:ilvl w:val="0"/>
          <w:numId w:val="45"/>
        </w:numPr>
        <w:snapToGrid w:val="0"/>
        <w:spacing w:before="0" w:after="120"/>
        <w:jc w:val="both"/>
        <w:rPr>
          <w:sz w:val="22"/>
        </w:rPr>
      </w:pPr>
      <w:r w:rsidRPr="009C085A">
        <w:rPr>
          <w:sz w:val="22"/>
        </w:rPr>
        <w:t>Regulation (EU, EURATOM) 2015/1929 of the European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rsidR="000A2F9A" w:rsidRPr="009C085A" w:rsidRDefault="000A2F9A" w:rsidP="000A2F9A">
      <w:pPr>
        <w:keepNext/>
        <w:keepLines/>
        <w:widowControl/>
        <w:numPr>
          <w:ilvl w:val="0"/>
          <w:numId w:val="45"/>
        </w:numPr>
        <w:snapToGrid w:val="0"/>
        <w:spacing w:before="0" w:after="120"/>
        <w:jc w:val="both"/>
        <w:rPr>
          <w:snapToGrid/>
          <w:sz w:val="22"/>
          <w:lang w:eastAsia="ja-JP"/>
        </w:rPr>
      </w:pPr>
      <w:r w:rsidRPr="009C085A">
        <w:rPr>
          <w:sz w:val="22"/>
          <w:lang w:eastAsia="ja-JP"/>
        </w:rPr>
        <w:t xml:space="preserve">The </w:t>
      </w:r>
      <w:proofErr w:type="spellStart"/>
      <w:r w:rsidRPr="009C085A">
        <w:rPr>
          <w:sz w:val="22"/>
          <w:lang w:eastAsia="ja-JP"/>
        </w:rPr>
        <w:t>Interreg</w:t>
      </w:r>
      <w:proofErr w:type="spellEnd"/>
      <w:r w:rsidRPr="009C085A">
        <w:rPr>
          <w:sz w:val="22"/>
          <w:lang w:eastAsia="ja-JP"/>
        </w:rPr>
        <w:t xml:space="preserve"> – IPA CBC Bulgaria – Serbia </w:t>
      </w:r>
      <w:proofErr w:type="spellStart"/>
      <w:r w:rsidRPr="009C085A">
        <w:rPr>
          <w:sz w:val="22"/>
          <w:lang w:eastAsia="ja-JP"/>
        </w:rPr>
        <w:t>Programme</w:t>
      </w:r>
      <w:proofErr w:type="spellEnd"/>
      <w:r w:rsidRPr="009C085A">
        <w:rPr>
          <w:sz w:val="22"/>
          <w:lang w:eastAsia="ja-JP"/>
        </w:rPr>
        <w:t xml:space="preserve">, with </w:t>
      </w:r>
      <w:proofErr w:type="spellStart"/>
      <w:r w:rsidRPr="009C085A">
        <w:rPr>
          <w:sz w:val="22"/>
          <w:lang w:eastAsia="ja-JP"/>
        </w:rPr>
        <w:t>programme</w:t>
      </w:r>
      <w:proofErr w:type="spellEnd"/>
      <w:r w:rsidRPr="009C085A">
        <w:rPr>
          <w:sz w:val="22"/>
          <w:lang w:eastAsia="ja-JP"/>
        </w:rPr>
        <w:t xml:space="preserve"> reference number 2014TC16I5CB007, approved by the European Commission with Decision C(2015) 5444 of 30.07.2015, amended with Decisions No. </w:t>
      </w:r>
      <w:proofErr w:type="gramStart"/>
      <w:r w:rsidRPr="009C085A">
        <w:rPr>
          <w:sz w:val="22"/>
          <w:lang w:eastAsia="ja-JP"/>
        </w:rPr>
        <w:t>C(</w:t>
      </w:r>
      <w:proofErr w:type="gramEnd"/>
      <w:r w:rsidRPr="009C085A">
        <w:rPr>
          <w:sz w:val="22"/>
          <w:lang w:eastAsia="ja-JP"/>
        </w:rPr>
        <w:t>2016) 2853 of 04.05.2016 and No. C(2016) 8643 of 13.12.2016;</w:t>
      </w:r>
    </w:p>
    <w:p w:rsidR="000A2F9A" w:rsidRPr="009C085A" w:rsidRDefault="000A2F9A" w:rsidP="000A2F9A">
      <w:pPr>
        <w:keepNext/>
        <w:keepLines/>
        <w:widowControl/>
        <w:numPr>
          <w:ilvl w:val="0"/>
          <w:numId w:val="45"/>
        </w:numPr>
        <w:snapToGrid w:val="0"/>
        <w:spacing w:before="0" w:after="120"/>
        <w:jc w:val="both"/>
        <w:rPr>
          <w:sz w:val="22"/>
          <w:lang w:eastAsia="ja-JP"/>
        </w:rPr>
      </w:pPr>
      <w:r w:rsidRPr="009C085A">
        <w:rPr>
          <w:sz w:val="22"/>
          <w:lang w:eastAsia="ja-JP"/>
        </w:rPr>
        <w:t xml:space="preserve">Financing Agreement between the </w:t>
      </w:r>
      <w:smartTag w:uri="urn:schemas-microsoft-com:office:smarttags" w:element="place">
        <w:smartTag w:uri="urn:schemas-microsoft-com:office:smarttags" w:element="PlaceType">
          <w:r w:rsidRPr="009C085A">
            <w:rPr>
              <w:sz w:val="22"/>
              <w:lang w:eastAsia="ja-JP"/>
            </w:rPr>
            <w:t>Republic</w:t>
          </w:r>
        </w:smartTag>
        <w:r w:rsidRPr="009C085A">
          <w:rPr>
            <w:sz w:val="22"/>
            <w:lang w:eastAsia="ja-JP"/>
          </w:rPr>
          <w:t xml:space="preserve"> of </w:t>
        </w:r>
        <w:smartTag w:uri="urn:schemas-microsoft-com:office:smarttags" w:element="PlaceName">
          <w:r w:rsidRPr="009C085A">
            <w:rPr>
              <w:sz w:val="22"/>
              <w:lang w:eastAsia="ja-JP"/>
            </w:rPr>
            <w:t>Serbia</w:t>
          </w:r>
        </w:smartTag>
      </w:smartTag>
      <w:r w:rsidRPr="009C085A">
        <w:rPr>
          <w:sz w:val="22"/>
          <w:lang w:eastAsia="ja-JP"/>
        </w:rPr>
        <w:t xml:space="preserve"> and European Commission for the </w:t>
      </w:r>
      <w:proofErr w:type="spellStart"/>
      <w:r w:rsidRPr="009C085A">
        <w:rPr>
          <w:sz w:val="22"/>
          <w:lang w:eastAsia="ja-JP"/>
        </w:rPr>
        <w:t>Programme</w:t>
      </w:r>
      <w:proofErr w:type="spellEnd"/>
      <w:r w:rsidRPr="009C085A">
        <w:rPr>
          <w:sz w:val="22"/>
          <w:lang w:eastAsia="ja-JP"/>
        </w:rPr>
        <w:t>;</w:t>
      </w:r>
    </w:p>
    <w:p w:rsidR="000A2F9A" w:rsidRDefault="000A2F9A" w:rsidP="000A2F9A">
      <w:pPr>
        <w:keepNext/>
        <w:shd w:val="clear" w:color="auto" w:fill="FFFFFF"/>
        <w:spacing w:before="0" w:after="120"/>
        <w:ind w:left="360" w:firstLine="720"/>
        <w:jc w:val="both"/>
        <w:rPr>
          <w:sz w:val="22"/>
          <w:lang w:eastAsia="ja-JP"/>
        </w:rPr>
      </w:pPr>
      <w:proofErr w:type="gramStart"/>
      <w:r w:rsidRPr="009C085A">
        <w:rPr>
          <w:sz w:val="22"/>
          <w:lang w:eastAsia="ja-JP"/>
        </w:rPr>
        <w:t>and</w:t>
      </w:r>
      <w:proofErr w:type="gramEnd"/>
      <w:r w:rsidRPr="009C085A">
        <w:rPr>
          <w:sz w:val="22"/>
          <w:lang w:eastAsia="ja-JP"/>
        </w:rPr>
        <w:t xml:space="preserve"> in compliance with:</w:t>
      </w:r>
    </w:p>
    <w:p w:rsidR="000A2F9A" w:rsidRPr="009C085A" w:rsidRDefault="000A2F9A" w:rsidP="000A2F9A">
      <w:pPr>
        <w:keepNext/>
        <w:numPr>
          <w:ilvl w:val="0"/>
          <w:numId w:val="46"/>
        </w:numPr>
        <w:shd w:val="clear" w:color="auto" w:fill="FFFFFF"/>
        <w:snapToGrid w:val="0"/>
        <w:spacing w:before="0" w:after="120"/>
        <w:jc w:val="both"/>
        <w:rPr>
          <w:sz w:val="22"/>
          <w:lang w:eastAsia="ja-JP"/>
        </w:rPr>
      </w:pPr>
      <w:r w:rsidRPr="009C085A">
        <w:rPr>
          <w:sz w:val="22"/>
          <w:lang w:eastAsia="ja-JP"/>
        </w:rPr>
        <w:t>Second Call for Proposals and the respective Guidelines for Applicants’ Package.</w:t>
      </w:r>
    </w:p>
    <w:p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7F6AA9" w:rsidRPr="005218E5" w:rsidRDefault="00AF412E" w:rsidP="005218E5">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standard applica</w:t>
      </w:r>
      <w:r w:rsidR="00E341A6">
        <w:rPr>
          <w:lang w:val="en-GB"/>
        </w:rPr>
        <w:t xml:space="preserve">tion </w:t>
      </w:r>
      <w:proofErr w:type="gramStart"/>
      <w:r w:rsidR="00E341A6">
        <w:rPr>
          <w:lang w:val="en-GB"/>
        </w:rPr>
        <w:t>form  must</w:t>
      </w:r>
      <w:proofErr w:type="gramEnd"/>
      <w:r w:rsidR="00E341A6">
        <w:rPr>
          <w:lang w:val="en-GB"/>
        </w:rPr>
        <w:t xml:space="preserve"> be expressed in </w:t>
      </w:r>
      <w:r w:rsidRPr="00E341A6">
        <w:rPr>
          <w:lang w:val="en-GB"/>
        </w:rPr>
        <w:t>EUR</w:t>
      </w:r>
      <w:r w:rsidR="00E341A6">
        <w:rPr>
          <w:lang w:val="en-GB"/>
        </w:rPr>
        <w:t>.</w:t>
      </w:r>
    </w:p>
    <w:sectPr w:rsidR="007F6AA9" w:rsidRPr="005218E5"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4AB" w:rsidRDefault="00EA24AB">
      <w:r>
        <w:separator/>
      </w:r>
    </w:p>
  </w:endnote>
  <w:endnote w:type="continuationSeparator" w:id="0">
    <w:p w:rsidR="00EA24AB" w:rsidRDefault="00EA2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A8C" w:rsidRPr="00B33EE6" w:rsidRDefault="00A143E7"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3D0BD9">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3D0BD9">
      <w:rPr>
        <w:rStyle w:val="PageNumber"/>
        <w:noProof/>
        <w:sz w:val="18"/>
        <w:szCs w:val="18"/>
        <w:lang w:val="en-GB"/>
      </w:rPr>
      <w:t>5</w:t>
    </w:r>
    <w:r w:rsidR="00B33EE6" w:rsidRPr="00B33EE6">
      <w:rPr>
        <w:rStyle w:val="PageNumber"/>
        <w:sz w:val="18"/>
        <w:szCs w:val="18"/>
        <w:lang w:val="en-GB"/>
      </w:rPr>
      <w:fldChar w:fldCharType="end"/>
    </w:r>
  </w:p>
  <w:p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4AB" w:rsidRDefault="00EA24AB">
      <w:r>
        <w:separator/>
      </w:r>
    </w:p>
  </w:footnote>
  <w:footnote w:type="continuationSeparator" w:id="0">
    <w:p w:rsidR="00EA24AB" w:rsidRDefault="00EA24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18B20E86"/>
    <w:multiLevelType w:val="hybridMultilevel"/>
    <w:tmpl w:val="ABFC82B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7">
    <w:nsid w:val="1BE83712"/>
    <w:multiLevelType w:val="hybridMultilevel"/>
    <w:tmpl w:val="C05E6C20"/>
    <w:lvl w:ilvl="0" w:tplc="0C1A0001">
      <w:start w:val="1"/>
      <w:numFmt w:val="bullet"/>
      <w:lvlText w:val=""/>
      <w:lvlJc w:val="left"/>
      <w:pPr>
        <w:ind w:left="1080" w:hanging="360"/>
      </w:pPr>
      <w:rPr>
        <w:rFonts w:ascii="Symbol" w:hAnsi="Symbol" w:hint="default"/>
      </w:rPr>
    </w:lvl>
    <w:lvl w:ilvl="1" w:tplc="0C1A0003">
      <w:start w:val="1"/>
      <w:numFmt w:val="bullet"/>
      <w:lvlText w:val="o"/>
      <w:lvlJc w:val="left"/>
      <w:pPr>
        <w:ind w:left="1800" w:hanging="360"/>
      </w:pPr>
      <w:rPr>
        <w:rFonts w:ascii="Courier New" w:hAnsi="Courier New" w:cs="Courier New" w:hint="default"/>
      </w:rPr>
    </w:lvl>
    <w:lvl w:ilvl="2" w:tplc="0C1A0005">
      <w:start w:val="1"/>
      <w:numFmt w:val="bullet"/>
      <w:lvlText w:val=""/>
      <w:lvlJc w:val="left"/>
      <w:pPr>
        <w:ind w:left="2520" w:hanging="360"/>
      </w:pPr>
      <w:rPr>
        <w:rFonts w:ascii="Wingdings" w:hAnsi="Wingdings" w:hint="default"/>
      </w:rPr>
    </w:lvl>
    <w:lvl w:ilvl="3" w:tplc="0C1A0001">
      <w:start w:val="1"/>
      <w:numFmt w:val="bullet"/>
      <w:lvlText w:val=""/>
      <w:lvlJc w:val="left"/>
      <w:pPr>
        <w:ind w:left="3240" w:hanging="360"/>
      </w:pPr>
      <w:rPr>
        <w:rFonts w:ascii="Symbol" w:hAnsi="Symbol" w:hint="default"/>
      </w:rPr>
    </w:lvl>
    <w:lvl w:ilvl="4" w:tplc="0C1A0003">
      <w:start w:val="1"/>
      <w:numFmt w:val="bullet"/>
      <w:lvlText w:val="o"/>
      <w:lvlJc w:val="left"/>
      <w:pPr>
        <w:ind w:left="3960" w:hanging="360"/>
      </w:pPr>
      <w:rPr>
        <w:rFonts w:ascii="Courier New" w:hAnsi="Courier New" w:cs="Courier New" w:hint="default"/>
      </w:rPr>
    </w:lvl>
    <w:lvl w:ilvl="5" w:tplc="0C1A0005">
      <w:start w:val="1"/>
      <w:numFmt w:val="bullet"/>
      <w:lvlText w:val=""/>
      <w:lvlJc w:val="left"/>
      <w:pPr>
        <w:ind w:left="4680" w:hanging="360"/>
      </w:pPr>
      <w:rPr>
        <w:rFonts w:ascii="Wingdings" w:hAnsi="Wingdings" w:hint="default"/>
      </w:rPr>
    </w:lvl>
    <w:lvl w:ilvl="6" w:tplc="0C1A0001">
      <w:start w:val="1"/>
      <w:numFmt w:val="bullet"/>
      <w:lvlText w:val=""/>
      <w:lvlJc w:val="left"/>
      <w:pPr>
        <w:ind w:left="5400" w:hanging="360"/>
      </w:pPr>
      <w:rPr>
        <w:rFonts w:ascii="Symbol" w:hAnsi="Symbol" w:hint="default"/>
      </w:rPr>
    </w:lvl>
    <w:lvl w:ilvl="7" w:tplc="0C1A0003">
      <w:start w:val="1"/>
      <w:numFmt w:val="bullet"/>
      <w:lvlText w:val="o"/>
      <w:lvlJc w:val="left"/>
      <w:pPr>
        <w:ind w:left="6120" w:hanging="360"/>
      </w:pPr>
      <w:rPr>
        <w:rFonts w:ascii="Courier New" w:hAnsi="Courier New" w:cs="Courier New" w:hint="default"/>
      </w:rPr>
    </w:lvl>
    <w:lvl w:ilvl="8" w:tplc="0C1A0005">
      <w:start w:val="1"/>
      <w:numFmt w:val="bullet"/>
      <w:lvlText w:val=""/>
      <w:lvlJc w:val="left"/>
      <w:pPr>
        <w:ind w:left="6840" w:hanging="360"/>
      </w:pPr>
      <w:rPr>
        <w:rFonts w:ascii="Wingdings" w:hAnsi="Wingdings" w:hint="default"/>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2C2A7929"/>
    <w:multiLevelType w:val="hybridMultilevel"/>
    <w:tmpl w:val="D110E672"/>
    <w:lvl w:ilvl="0" w:tplc="0C1A0001">
      <w:start w:val="1"/>
      <w:numFmt w:val="bullet"/>
      <w:lvlText w:val=""/>
      <w:lvlJc w:val="left"/>
      <w:pPr>
        <w:ind w:left="720" w:hanging="360"/>
      </w:pPr>
      <w:rPr>
        <w:rFonts w:ascii="Symbol" w:hAnsi="Symbol" w:hint="default"/>
      </w:rPr>
    </w:lvl>
    <w:lvl w:ilvl="1" w:tplc="0C1A0003">
      <w:start w:val="1"/>
      <w:numFmt w:val="bullet"/>
      <w:lvlText w:val="o"/>
      <w:lvlJc w:val="left"/>
      <w:pPr>
        <w:ind w:left="1440" w:hanging="360"/>
      </w:pPr>
      <w:rPr>
        <w:rFonts w:ascii="Courier New" w:hAnsi="Courier New" w:cs="Courier New" w:hint="default"/>
      </w:rPr>
    </w:lvl>
    <w:lvl w:ilvl="2" w:tplc="0C1A0005">
      <w:start w:val="1"/>
      <w:numFmt w:val="bullet"/>
      <w:lvlText w:val=""/>
      <w:lvlJc w:val="left"/>
      <w:pPr>
        <w:ind w:left="2160" w:hanging="360"/>
      </w:pPr>
      <w:rPr>
        <w:rFonts w:ascii="Wingdings" w:hAnsi="Wingdings" w:hint="default"/>
      </w:rPr>
    </w:lvl>
    <w:lvl w:ilvl="3" w:tplc="0C1A0001">
      <w:start w:val="1"/>
      <w:numFmt w:val="bullet"/>
      <w:lvlText w:val=""/>
      <w:lvlJc w:val="left"/>
      <w:pPr>
        <w:ind w:left="2880" w:hanging="360"/>
      </w:pPr>
      <w:rPr>
        <w:rFonts w:ascii="Symbol" w:hAnsi="Symbol" w:hint="default"/>
      </w:rPr>
    </w:lvl>
    <w:lvl w:ilvl="4" w:tplc="0C1A0003">
      <w:start w:val="1"/>
      <w:numFmt w:val="bullet"/>
      <w:lvlText w:val="o"/>
      <w:lvlJc w:val="left"/>
      <w:pPr>
        <w:ind w:left="3600" w:hanging="360"/>
      </w:pPr>
      <w:rPr>
        <w:rFonts w:ascii="Courier New" w:hAnsi="Courier New" w:cs="Courier New" w:hint="default"/>
      </w:rPr>
    </w:lvl>
    <w:lvl w:ilvl="5" w:tplc="0C1A0005">
      <w:start w:val="1"/>
      <w:numFmt w:val="bullet"/>
      <w:lvlText w:val=""/>
      <w:lvlJc w:val="left"/>
      <w:pPr>
        <w:ind w:left="4320" w:hanging="360"/>
      </w:pPr>
      <w:rPr>
        <w:rFonts w:ascii="Wingdings" w:hAnsi="Wingdings" w:hint="default"/>
      </w:rPr>
    </w:lvl>
    <w:lvl w:ilvl="6" w:tplc="0C1A0001">
      <w:start w:val="1"/>
      <w:numFmt w:val="bullet"/>
      <w:lvlText w:val=""/>
      <w:lvlJc w:val="left"/>
      <w:pPr>
        <w:ind w:left="5040" w:hanging="360"/>
      </w:pPr>
      <w:rPr>
        <w:rFonts w:ascii="Symbol" w:hAnsi="Symbol" w:hint="default"/>
      </w:rPr>
    </w:lvl>
    <w:lvl w:ilvl="7" w:tplc="0C1A0003">
      <w:start w:val="1"/>
      <w:numFmt w:val="bullet"/>
      <w:lvlText w:val="o"/>
      <w:lvlJc w:val="left"/>
      <w:pPr>
        <w:ind w:left="5760" w:hanging="360"/>
      </w:pPr>
      <w:rPr>
        <w:rFonts w:ascii="Courier New" w:hAnsi="Courier New" w:cs="Courier New" w:hint="default"/>
      </w:rPr>
    </w:lvl>
    <w:lvl w:ilvl="8" w:tplc="0C1A0005">
      <w:start w:val="1"/>
      <w:numFmt w:val="bullet"/>
      <w:lvlText w:val=""/>
      <w:lvlJc w:val="left"/>
      <w:pPr>
        <w:ind w:left="6480" w:hanging="360"/>
      </w:pPr>
      <w:rPr>
        <w:rFonts w:ascii="Wingdings" w:hAnsi="Wingdings" w:hint="default"/>
      </w:rPr>
    </w:lvl>
  </w:abstractNum>
  <w:abstractNum w:abstractNumId="41">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3"/>
  </w:num>
  <w:num w:numId="35">
    <w:abstractNumId w:val="34"/>
  </w:num>
  <w:num w:numId="36">
    <w:abstractNumId w:val="33"/>
  </w:num>
  <w:num w:numId="37">
    <w:abstractNumId w:val="38"/>
  </w:num>
  <w:num w:numId="38">
    <w:abstractNumId w:val="41"/>
  </w:num>
  <w:num w:numId="39">
    <w:abstractNumId w:val="45"/>
  </w:num>
  <w:num w:numId="40">
    <w:abstractNumId w:val="46"/>
  </w:num>
  <w:num w:numId="41">
    <w:abstractNumId w:val="42"/>
  </w:num>
  <w:num w:numId="42">
    <w:abstractNumId w:val="44"/>
  </w:num>
  <w:num w:numId="43">
    <w:abstractNumId w:val="39"/>
  </w:num>
  <w:num w:numId="44">
    <w:abstractNumId w:val="40"/>
  </w:num>
  <w:num w:numId="45">
    <w:abstractNumId w:val="37"/>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5030"/>
    <w:rsid w:val="000A0D57"/>
    <w:rsid w:val="000A2F9A"/>
    <w:rsid w:val="000A3758"/>
    <w:rsid w:val="000B693E"/>
    <w:rsid w:val="000B7C91"/>
    <w:rsid w:val="000C1101"/>
    <w:rsid w:val="000C1522"/>
    <w:rsid w:val="000D1732"/>
    <w:rsid w:val="000D3EBF"/>
    <w:rsid w:val="000E4709"/>
    <w:rsid w:val="000F0F6C"/>
    <w:rsid w:val="000F1340"/>
    <w:rsid w:val="000F5DEF"/>
    <w:rsid w:val="0010162C"/>
    <w:rsid w:val="00105302"/>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4730"/>
    <w:rsid w:val="001F780C"/>
    <w:rsid w:val="00201320"/>
    <w:rsid w:val="00212656"/>
    <w:rsid w:val="00213E14"/>
    <w:rsid w:val="00216179"/>
    <w:rsid w:val="00226829"/>
    <w:rsid w:val="00233B9D"/>
    <w:rsid w:val="00233DDA"/>
    <w:rsid w:val="00235A71"/>
    <w:rsid w:val="002413EA"/>
    <w:rsid w:val="00243849"/>
    <w:rsid w:val="002575AA"/>
    <w:rsid w:val="0026010E"/>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0BD9"/>
    <w:rsid w:val="003D16FB"/>
    <w:rsid w:val="003D6CAD"/>
    <w:rsid w:val="003E782D"/>
    <w:rsid w:val="0040360C"/>
    <w:rsid w:val="004108A4"/>
    <w:rsid w:val="00424124"/>
    <w:rsid w:val="0043533D"/>
    <w:rsid w:val="00452ED8"/>
    <w:rsid w:val="0045494F"/>
    <w:rsid w:val="004567DF"/>
    <w:rsid w:val="00472630"/>
    <w:rsid w:val="00473883"/>
    <w:rsid w:val="00476D80"/>
    <w:rsid w:val="004850B4"/>
    <w:rsid w:val="004850F9"/>
    <w:rsid w:val="004901C2"/>
    <w:rsid w:val="004957E5"/>
    <w:rsid w:val="004C21CC"/>
    <w:rsid w:val="004C49B2"/>
    <w:rsid w:val="004D031B"/>
    <w:rsid w:val="004D5EDB"/>
    <w:rsid w:val="004D6052"/>
    <w:rsid w:val="004E083B"/>
    <w:rsid w:val="004E1482"/>
    <w:rsid w:val="004E69A4"/>
    <w:rsid w:val="004E6C3D"/>
    <w:rsid w:val="004F00C7"/>
    <w:rsid w:val="004F1360"/>
    <w:rsid w:val="004F34C4"/>
    <w:rsid w:val="004F3BBC"/>
    <w:rsid w:val="004F4A09"/>
    <w:rsid w:val="004F7E9D"/>
    <w:rsid w:val="00500794"/>
    <w:rsid w:val="00502217"/>
    <w:rsid w:val="00502BBF"/>
    <w:rsid w:val="00503CD9"/>
    <w:rsid w:val="005046CD"/>
    <w:rsid w:val="00505437"/>
    <w:rsid w:val="005070DB"/>
    <w:rsid w:val="00513F0F"/>
    <w:rsid w:val="005159FB"/>
    <w:rsid w:val="00517ADA"/>
    <w:rsid w:val="005218E5"/>
    <w:rsid w:val="00537B25"/>
    <w:rsid w:val="0054183B"/>
    <w:rsid w:val="00542A21"/>
    <w:rsid w:val="005462B4"/>
    <w:rsid w:val="00551429"/>
    <w:rsid w:val="00553C32"/>
    <w:rsid w:val="0056183E"/>
    <w:rsid w:val="005639EC"/>
    <w:rsid w:val="00565A69"/>
    <w:rsid w:val="00571687"/>
    <w:rsid w:val="00572F15"/>
    <w:rsid w:val="00573F7A"/>
    <w:rsid w:val="00584BF4"/>
    <w:rsid w:val="00584D96"/>
    <w:rsid w:val="00590ADB"/>
    <w:rsid w:val="005942F2"/>
    <w:rsid w:val="005A21DC"/>
    <w:rsid w:val="005B35A2"/>
    <w:rsid w:val="005B4F80"/>
    <w:rsid w:val="005B5E3C"/>
    <w:rsid w:val="005D41DD"/>
    <w:rsid w:val="005F776D"/>
    <w:rsid w:val="0060359F"/>
    <w:rsid w:val="0061336A"/>
    <w:rsid w:val="006309DE"/>
    <w:rsid w:val="00632BDC"/>
    <w:rsid w:val="0064390B"/>
    <w:rsid w:val="00663C6D"/>
    <w:rsid w:val="006714ED"/>
    <w:rsid w:val="0067150F"/>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77952"/>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2C76"/>
    <w:rsid w:val="00810582"/>
    <w:rsid w:val="00813A48"/>
    <w:rsid w:val="008152EF"/>
    <w:rsid w:val="008162F6"/>
    <w:rsid w:val="00817895"/>
    <w:rsid w:val="00817B4A"/>
    <w:rsid w:val="00820404"/>
    <w:rsid w:val="008272C0"/>
    <w:rsid w:val="008323D3"/>
    <w:rsid w:val="008351FF"/>
    <w:rsid w:val="00862885"/>
    <w:rsid w:val="008667BE"/>
    <w:rsid w:val="0087086B"/>
    <w:rsid w:val="00881C2D"/>
    <w:rsid w:val="00894E29"/>
    <w:rsid w:val="0089693D"/>
    <w:rsid w:val="008A1514"/>
    <w:rsid w:val="008A5B32"/>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43E7"/>
    <w:rsid w:val="00A171EA"/>
    <w:rsid w:val="00A22177"/>
    <w:rsid w:val="00A236A4"/>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45D"/>
    <w:rsid w:val="00AE6A5B"/>
    <w:rsid w:val="00AE6BEF"/>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5FC4"/>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4F70"/>
    <w:rsid w:val="00DC753D"/>
    <w:rsid w:val="00DD0CD4"/>
    <w:rsid w:val="00DF04F0"/>
    <w:rsid w:val="00E147D3"/>
    <w:rsid w:val="00E1771A"/>
    <w:rsid w:val="00E1782A"/>
    <w:rsid w:val="00E21BC3"/>
    <w:rsid w:val="00E23A94"/>
    <w:rsid w:val="00E30BB5"/>
    <w:rsid w:val="00E31447"/>
    <w:rsid w:val="00E341A6"/>
    <w:rsid w:val="00E422A2"/>
    <w:rsid w:val="00E5220B"/>
    <w:rsid w:val="00E6091F"/>
    <w:rsid w:val="00E6172B"/>
    <w:rsid w:val="00E66A55"/>
    <w:rsid w:val="00E713AC"/>
    <w:rsid w:val="00E713DA"/>
    <w:rsid w:val="00E72176"/>
    <w:rsid w:val="00E813B7"/>
    <w:rsid w:val="00E82874"/>
    <w:rsid w:val="00E845AC"/>
    <w:rsid w:val="00E867FC"/>
    <w:rsid w:val="00E9047D"/>
    <w:rsid w:val="00EA24AB"/>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86D50"/>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Title">
    <w:name w:val="Title"/>
    <w:basedOn w:val="Normal"/>
    <w:link w:val="TitleChar"/>
    <w:qFormat/>
    <w:rsid w:val="00E713AC"/>
    <w:pPr>
      <w:widowControl/>
      <w:spacing w:before="0" w:after="0"/>
      <w:jc w:val="center"/>
    </w:pPr>
    <w:rPr>
      <w:b/>
      <w:bCs/>
      <w:snapToGrid/>
      <w:szCs w:val="24"/>
    </w:rPr>
  </w:style>
  <w:style w:type="character" w:customStyle="1" w:styleId="TitleChar">
    <w:name w:val="Title Char"/>
    <w:link w:val="Title"/>
    <w:rsid w:val="00E713AC"/>
    <w:rPr>
      <w:b/>
      <w:bCs/>
      <w:sz w:val="24"/>
      <w:szCs w:val="24"/>
      <w:lang w:val="en-US" w:eastAsia="en-US"/>
    </w:rPr>
  </w:style>
  <w:style w:type="paragraph" w:styleId="BodyText">
    <w:name w:val="Body Text"/>
    <w:basedOn w:val="Normal"/>
    <w:link w:val="BodyTextChar"/>
    <w:rsid w:val="004F1360"/>
    <w:pPr>
      <w:spacing w:after="120"/>
    </w:pPr>
  </w:style>
  <w:style w:type="character" w:customStyle="1" w:styleId="BodyTextChar">
    <w:name w:val="Body Text Char"/>
    <w:basedOn w:val="DefaultParagraphFont"/>
    <w:link w:val="BodyText"/>
    <w:rsid w:val="004F1360"/>
    <w:rPr>
      <w:snapToGrid w:val="0"/>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Title">
    <w:name w:val="Title"/>
    <w:basedOn w:val="Normal"/>
    <w:link w:val="TitleChar"/>
    <w:qFormat/>
    <w:rsid w:val="00E713AC"/>
    <w:pPr>
      <w:widowControl/>
      <w:spacing w:before="0" w:after="0"/>
      <w:jc w:val="center"/>
    </w:pPr>
    <w:rPr>
      <w:b/>
      <w:bCs/>
      <w:snapToGrid/>
      <w:szCs w:val="24"/>
    </w:rPr>
  </w:style>
  <w:style w:type="character" w:customStyle="1" w:styleId="TitleChar">
    <w:name w:val="Title Char"/>
    <w:link w:val="Title"/>
    <w:rsid w:val="00E713AC"/>
    <w:rPr>
      <w:b/>
      <w:bCs/>
      <w:sz w:val="24"/>
      <w:szCs w:val="24"/>
      <w:lang w:val="en-US" w:eastAsia="en-US"/>
    </w:rPr>
  </w:style>
  <w:style w:type="paragraph" w:styleId="BodyText">
    <w:name w:val="Body Text"/>
    <w:basedOn w:val="Normal"/>
    <w:link w:val="BodyTextChar"/>
    <w:rsid w:val="004F1360"/>
    <w:pPr>
      <w:spacing w:after="120"/>
    </w:pPr>
  </w:style>
  <w:style w:type="character" w:customStyle="1" w:styleId="BodyTextChar">
    <w:name w:val="Body Text Char"/>
    <w:basedOn w:val="DefaultParagraphFont"/>
    <w:link w:val="BodyText"/>
    <w:rsid w:val="004F1360"/>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c.europa.eu/europeaid/prag/annexes.do?chapterTitleCode=A" TargetMode="External"/><Relationship Id="rId4" Type="http://schemas.microsoft.com/office/2007/relationships/stylesWithEffects" Target="stylesWithEffects.xml"/><Relationship Id="rId9" Type="http://schemas.openxmlformats.org/officeDocument/2006/relationships/hyperlink" Target="http://ec.europa.eu/europeaid/prag/annexes.do?group=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6DD88-0314-4E5C-BAC8-BCAAB8F05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1990</Words>
  <Characters>11347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13311</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Milan1</cp:lastModifiedBy>
  <cp:revision>6</cp:revision>
  <cp:lastPrinted>2016-05-31T08:36:00Z</cp:lastPrinted>
  <dcterms:created xsi:type="dcterms:W3CDTF">2020-09-15T10:36:00Z</dcterms:created>
  <dcterms:modified xsi:type="dcterms:W3CDTF">2020-09-28T19:45:00Z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