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87E4" w14:textId="77777777" w:rsidR="006F5FD0" w:rsidRPr="009570E9" w:rsidRDefault="00C03806">
      <w:pPr>
        <w:jc w:val="center"/>
        <w:rPr>
          <w:rStyle w:val="a6"/>
          <w:sz w:val="28"/>
          <w:szCs w:val="28"/>
          <w:lang w:val="en-GB"/>
        </w:rPr>
      </w:pPr>
      <w:r w:rsidRPr="009570E9">
        <w:rPr>
          <w:b/>
          <w:sz w:val="28"/>
          <w:szCs w:val="28"/>
          <w:lang w:val="en-GB"/>
        </w:rPr>
        <w:t xml:space="preserve">CONTRACT </w:t>
      </w:r>
      <w:r w:rsidR="006F5FD0" w:rsidRPr="009570E9">
        <w:rPr>
          <w:b/>
          <w:sz w:val="28"/>
          <w:szCs w:val="28"/>
          <w:lang w:val="en-GB"/>
        </w:rPr>
        <w:t>NOTICE</w:t>
      </w:r>
    </w:p>
    <w:p w14:paraId="5B463A74" w14:textId="099AD60C" w:rsidR="00EF74CF" w:rsidRPr="009570E9" w:rsidRDefault="00DB35A9" w:rsidP="00166AA1">
      <w:pPr>
        <w:spacing w:beforeAutospacing="1" w:afterAutospacing="1"/>
        <w:rPr>
          <w:rStyle w:val="a6"/>
          <w:sz w:val="22"/>
          <w:szCs w:val="22"/>
          <w:u w:val="single"/>
          <w:lang w:val="en-GB"/>
        </w:rPr>
      </w:pPr>
      <w:r w:rsidRPr="009570E9">
        <w:rPr>
          <w:b/>
          <w:sz w:val="22"/>
          <w:szCs w:val="22"/>
          <w:u w:val="single"/>
        </w:rPr>
        <w:t>CALL FOR TENDER</w:t>
      </w:r>
      <w:r w:rsidR="00297B55" w:rsidRPr="009570E9">
        <w:rPr>
          <w:b/>
          <w:sz w:val="22"/>
          <w:szCs w:val="22"/>
          <w:u w:val="single"/>
        </w:rPr>
        <w:t xml:space="preserve">: GENERAL </w:t>
      </w:r>
      <w:r w:rsidR="004A079B" w:rsidRPr="009570E9">
        <w:rPr>
          <w:b/>
          <w:sz w:val="22"/>
          <w:szCs w:val="22"/>
          <w:u w:val="single"/>
        </w:rPr>
        <w:t xml:space="preserve">INFORMATION </w:t>
      </w:r>
      <w:r w:rsidR="007C201A" w:rsidRPr="009570E9">
        <w:rPr>
          <w:b/>
          <w:sz w:val="22"/>
          <w:szCs w:val="22"/>
          <w:u w:val="single"/>
        </w:rPr>
        <w:br/>
      </w:r>
      <w:r w:rsidR="007C201A" w:rsidRPr="009570E9">
        <w:rPr>
          <w:sz w:val="22"/>
          <w:szCs w:val="22"/>
          <w:u w:val="single"/>
        </w:rPr>
        <w:br/>
      </w:r>
      <w:r w:rsidR="00EF74CF" w:rsidRPr="009570E9">
        <w:rPr>
          <w:rStyle w:val="a6"/>
          <w:sz w:val="22"/>
          <w:szCs w:val="22"/>
          <w:u w:val="single"/>
          <w:lang w:val="en-GB"/>
        </w:rPr>
        <w:t>I.1) Name and address Contracting Authority</w:t>
      </w:r>
    </w:p>
    <w:p w14:paraId="4E56FBB5" w14:textId="77777777" w:rsidR="00166AA1" w:rsidRPr="009570E9" w:rsidRDefault="00166AA1" w:rsidP="00166AA1">
      <w:pPr>
        <w:outlineLvl w:val="0"/>
        <w:rPr>
          <w:rStyle w:val="a6"/>
          <w:b w:val="0"/>
          <w:sz w:val="22"/>
          <w:szCs w:val="22"/>
        </w:rPr>
      </w:pPr>
      <w:r w:rsidRPr="009570E9">
        <w:rPr>
          <w:rStyle w:val="a6"/>
          <w:b w:val="0"/>
          <w:sz w:val="22"/>
          <w:szCs w:val="22"/>
        </w:rPr>
        <w:t xml:space="preserve">Official name: Municipality of </w:t>
      </w:r>
      <w:proofErr w:type="spellStart"/>
      <w:r w:rsidRPr="009570E9">
        <w:rPr>
          <w:rStyle w:val="a6"/>
          <w:b w:val="0"/>
          <w:sz w:val="22"/>
          <w:szCs w:val="22"/>
        </w:rPr>
        <w:t>Botevgrad</w:t>
      </w:r>
      <w:proofErr w:type="spellEnd"/>
      <w:r w:rsidRPr="009570E9">
        <w:rPr>
          <w:rStyle w:val="a6"/>
          <w:b w:val="0"/>
          <w:sz w:val="22"/>
          <w:szCs w:val="22"/>
        </w:rPr>
        <w:br/>
        <w:t xml:space="preserve">Postal address: </w:t>
      </w:r>
      <w:r w:rsidRPr="009570E9">
        <w:rPr>
          <w:sz w:val="22"/>
          <w:szCs w:val="22"/>
        </w:rPr>
        <w:t>13 "</w:t>
      </w:r>
      <w:proofErr w:type="spellStart"/>
      <w:r w:rsidRPr="009570E9">
        <w:rPr>
          <w:sz w:val="22"/>
          <w:szCs w:val="22"/>
        </w:rPr>
        <w:t>Osvobozhdenie</w:t>
      </w:r>
      <w:proofErr w:type="spellEnd"/>
      <w:r w:rsidRPr="009570E9">
        <w:rPr>
          <w:sz w:val="22"/>
          <w:szCs w:val="22"/>
        </w:rPr>
        <w:t>" square</w:t>
      </w:r>
      <w:r w:rsidRPr="009570E9">
        <w:rPr>
          <w:rStyle w:val="a6"/>
          <w:b w:val="0"/>
          <w:sz w:val="22"/>
          <w:szCs w:val="22"/>
        </w:rPr>
        <w:br/>
        <w:t xml:space="preserve">Town: </w:t>
      </w:r>
      <w:proofErr w:type="spellStart"/>
      <w:r w:rsidRPr="009570E9">
        <w:rPr>
          <w:sz w:val="22"/>
          <w:szCs w:val="22"/>
        </w:rPr>
        <w:t>Botevgrad</w:t>
      </w:r>
      <w:proofErr w:type="spellEnd"/>
      <w:r w:rsidRPr="009570E9">
        <w:rPr>
          <w:rStyle w:val="a6"/>
          <w:b w:val="0"/>
          <w:sz w:val="22"/>
          <w:szCs w:val="22"/>
        </w:rPr>
        <w:br/>
        <w:t xml:space="preserve">Postal Code: </w:t>
      </w:r>
      <w:r w:rsidRPr="009570E9">
        <w:rPr>
          <w:sz w:val="22"/>
          <w:szCs w:val="22"/>
        </w:rPr>
        <w:t>2140</w:t>
      </w:r>
      <w:r w:rsidRPr="009570E9">
        <w:rPr>
          <w:rStyle w:val="a6"/>
          <w:b w:val="0"/>
          <w:sz w:val="22"/>
          <w:szCs w:val="22"/>
        </w:rPr>
        <w:br/>
        <w:t xml:space="preserve">E-mail: obshtina@botevgrad.org; </w:t>
      </w:r>
      <w:r w:rsidRPr="009570E9">
        <w:rPr>
          <w:rStyle w:val="a6"/>
          <w:b w:val="0"/>
          <w:sz w:val="22"/>
          <w:szCs w:val="22"/>
        </w:rPr>
        <w:br/>
        <w:t xml:space="preserve">Internet address: </w:t>
      </w:r>
      <w:hyperlink r:id="rId11" w:history="1">
        <w:r w:rsidRPr="009570E9">
          <w:rPr>
            <w:rStyle w:val="a4"/>
            <w:sz w:val="22"/>
            <w:szCs w:val="22"/>
          </w:rPr>
          <w:t>https://botevgrad.bg/</w:t>
        </w:r>
      </w:hyperlink>
      <w:r w:rsidRPr="009570E9">
        <w:rPr>
          <w:rStyle w:val="a6"/>
          <w:b w:val="0"/>
          <w:sz w:val="22"/>
          <w:szCs w:val="22"/>
        </w:rPr>
        <w:t xml:space="preserve"> </w:t>
      </w:r>
    </w:p>
    <w:p w14:paraId="56F4F8BF" w14:textId="0EF798B9" w:rsidR="00166AA1" w:rsidRPr="009570E9" w:rsidRDefault="00B513FE" w:rsidP="00EF74CF">
      <w:pPr>
        <w:outlineLvl w:val="0"/>
        <w:rPr>
          <w:rStyle w:val="a6"/>
          <w:sz w:val="22"/>
          <w:szCs w:val="22"/>
          <w:u w:val="single"/>
          <w:lang w:val="en-GB"/>
        </w:rPr>
      </w:pPr>
      <w:r w:rsidRPr="009570E9">
        <w:rPr>
          <w:rStyle w:val="a6"/>
          <w:sz w:val="22"/>
          <w:szCs w:val="22"/>
          <w:u w:val="single"/>
          <w:lang w:val="en-GB"/>
        </w:rPr>
        <w:t>II.1.1)</w:t>
      </w:r>
      <w:r w:rsidR="007C201A" w:rsidRPr="009570E9">
        <w:rPr>
          <w:rStyle w:val="a6"/>
          <w:sz w:val="22"/>
          <w:szCs w:val="22"/>
          <w:u w:val="single"/>
          <w:lang w:val="en-GB"/>
        </w:rPr>
        <w:t xml:space="preserve"> </w:t>
      </w:r>
      <w:r w:rsidRPr="009570E9">
        <w:rPr>
          <w:rStyle w:val="a6"/>
          <w:sz w:val="22"/>
          <w:szCs w:val="22"/>
          <w:u w:val="single"/>
          <w:lang w:val="en-GB"/>
        </w:rPr>
        <w:t>Title:</w:t>
      </w:r>
      <w:r w:rsidRPr="009570E9">
        <w:rPr>
          <w:rStyle w:val="a6"/>
          <w:b w:val="0"/>
          <w:sz w:val="22"/>
          <w:szCs w:val="22"/>
          <w:lang w:val="en-GB"/>
        </w:rPr>
        <w:t xml:space="preserve"> </w:t>
      </w:r>
      <w:r w:rsidR="007C201A" w:rsidRPr="009570E9">
        <w:rPr>
          <w:rStyle w:val="a6"/>
          <w:b w:val="0"/>
          <w:sz w:val="22"/>
          <w:szCs w:val="22"/>
          <w:lang w:val="en-GB"/>
        </w:rPr>
        <w:br/>
      </w:r>
      <w:bookmarkStart w:id="0" w:name="_Hlk110212344"/>
      <w:r w:rsidR="00166AA1" w:rsidRPr="009570E9">
        <w:rPr>
          <w:b/>
          <w:iCs/>
          <w:sz w:val="22"/>
          <w:szCs w:val="22"/>
        </w:rPr>
        <w:t xml:space="preserve">Supply of firefighting truck for the needs of the Municipality of </w:t>
      </w:r>
      <w:proofErr w:type="spellStart"/>
      <w:r w:rsidR="00166AA1" w:rsidRPr="009570E9">
        <w:rPr>
          <w:b/>
          <w:iCs/>
          <w:sz w:val="22"/>
          <w:szCs w:val="22"/>
        </w:rPr>
        <w:t>Botevgrad</w:t>
      </w:r>
      <w:proofErr w:type="spellEnd"/>
      <w:r w:rsidR="00166AA1" w:rsidRPr="009570E9">
        <w:rPr>
          <w:rStyle w:val="a6"/>
          <w:sz w:val="22"/>
          <w:szCs w:val="22"/>
          <w:u w:val="single"/>
          <w:lang w:val="en-GB"/>
        </w:rPr>
        <w:t xml:space="preserve"> </w:t>
      </w:r>
      <w:bookmarkEnd w:id="0"/>
    </w:p>
    <w:p w14:paraId="0882407B" w14:textId="4EF98F22" w:rsidR="00CF366A" w:rsidRPr="009570E9" w:rsidRDefault="00CF366A" w:rsidP="00EF74CF">
      <w:pPr>
        <w:outlineLvl w:val="0"/>
        <w:rPr>
          <w:rStyle w:val="a6"/>
          <w:sz w:val="22"/>
          <w:szCs w:val="22"/>
          <w:u w:val="single"/>
          <w:lang w:val="en-GB"/>
        </w:rPr>
      </w:pPr>
      <w:r w:rsidRPr="009570E9">
        <w:rPr>
          <w:rStyle w:val="a6"/>
          <w:sz w:val="22"/>
          <w:szCs w:val="22"/>
          <w:u w:val="single"/>
          <w:lang w:val="en-GB"/>
        </w:rPr>
        <w:t>II.1.2) Main CPV</w:t>
      </w:r>
      <w:r w:rsidR="000617C9" w:rsidRPr="009570E9">
        <w:rPr>
          <w:rStyle w:val="ad"/>
          <w:b/>
          <w:sz w:val="22"/>
          <w:szCs w:val="22"/>
          <w:u w:val="single"/>
          <w:lang w:val="en-GB"/>
        </w:rPr>
        <w:footnoteReference w:id="1"/>
      </w:r>
      <w:r w:rsidRPr="009570E9">
        <w:rPr>
          <w:rStyle w:val="a6"/>
          <w:sz w:val="22"/>
          <w:szCs w:val="22"/>
          <w:u w:val="single"/>
          <w:lang w:val="en-GB"/>
        </w:rPr>
        <w:t xml:space="preserve"> code</w:t>
      </w:r>
    </w:p>
    <w:p w14:paraId="1FC9F880" w14:textId="77777777" w:rsidR="00166AA1" w:rsidRPr="009570E9" w:rsidRDefault="00166AA1" w:rsidP="00010B32">
      <w:pPr>
        <w:outlineLvl w:val="0"/>
        <w:rPr>
          <w:sz w:val="22"/>
          <w:szCs w:val="22"/>
          <w:lang w:val="bg-BG"/>
        </w:rPr>
      </w:pPr>
      <w:r w:rsidRPr="009570E9">
        <w:rPr>
          <w:sz w:val="22"/>
          <w:szCs w:val="22"/>
          <w:lang w:val="bg-BG"/>
        </w:rPr>
        <w:t>34144000-8</w:t>
      </w:r>
    </w:p>
    <w:p w14:paraId="57BD9A50" w14:textId="224EF901" w:rsidR="00010B32" w:rsidRPr="009570E9" w:rsidRDefault="00010B32" w:rsidP="00010B32">
      <w:pPr>
        <w:outlineLvl w:val="0"/>
        <w:rPr>
          <w:rStyle w:val="a6"/>
          <w:sz w:val="22"/>
          <w:szCs w:val="22"/>
          <w:u w:val="single"/>
          <w:lang w:val="en-GB"/>
        </w:rPr>
      </w:pPr>
      <w:r w:rsidRPr="009570E9">
        <w:rPr>
          <w:rStyle w:val="a6"/>
          <w:sz w:val="22"/>
          <w:szCs w:val="22"/>
          <w:u w:val="single"/>
          <w:lang w:val="en-GB"/>
        </w:rPr>
        <w:t>II.1.3) Type of contract</w:t>
      </w:r>
    </w:p>
    <w:p w14:paraId="382700E3" w14:textId="642F7190" w:rsidR="00010B32" w:rsidRPr="009570E9" w:rsidRDefault="00010B32" w:rsidP="008F66E7">
      <w:pPr>
        <w:pStyle w:val="Blockquote"/>
        <w:ind w:left="0"/>
        <w:jc w:val="both"/>
        <w:rPr>
          <w:rStyle w:val="a6"/>
          <w:b w:val="0"/>
          <w:i/>
          <w:sz w:val="22"/>
          <w:szCs w:val="22"/>
          <w:lang w:val="en-GB"/>
        </w:rPr>
      </w:pPr>
      <w:r w:rsidRPr="009570E9">
        <w:rPr>
          <w:rStyle w:val="a3"/>
          <w:i w:val="0"/>
          <w:sz w:val="22"/>
          <w:szCs w:val="22"/>
          <w:lang w:val="en-GB"/>
        </w:rPr>
        <w:t>Supplies</w:t>
      </w:r>
    </w:p>
    <w:p w14:paraId="355F962B" w14:textId="301F3452" w:rsidR="00EF74CF" w:rsidRPr="009570E9" w:rsidRDefault="00EF74CF" w:rsidP="008F66E7">
      <w:pPr>
        <w:spacing w:before="240" w:after="120"/>
        <w:outlineLvl w:val="0"/>
        <w:rPr>
          <w:rStyle w:val="a6"/>
          <w:sz w:val="22"/>
          <w:szCs w:val="22"/>
          <w:u w:val="single"/>
          <w:lang w:val="en-GB"/>
        </w:rPr>
      </w:pPr>
      <w:r w:rsidRPr="009570E9">
        <w:rPr>
          <w:rStyle w:val="a6"/>
          <w:sz w:val="22"/>
          <w:szCs w:val="22"/>
          <w:u w:val="single"/>
          <w:lang w:val="en-GB"/>
        </w:rPr>
        <w:t>II.1.4) Short description of the contract</w:t>
      </w:r>
    </w:p>
    <w:p w14:paraId="41572220" w14:textId="0C6A5493" w:rsidR="00166AA1" w:rsidRPr="00166AA1" w:rsidRDefault="00166AA1" w:rsidP="00166AA1">
      <w:pPr>
        <w:jc w:val="both"/>
        <w:outlineLvl w:val="0"/>
        <w:rPr>
          <w:bCs/>
          <w:sz w:val="22"/>
          <w:szCs w:val="22"/>
        </w:rPr>
      </w:pPr>
      <w:r w:rsidRPr="00166AA1">
        <w:rPr>
          <w:sz w:val="22"/>
          <w:szCs w:val="22"/>
        </w:rPr>
        <w:t>In order to ensure the safety of the population and the pres</w:t>
      </w:r>
      <w:r w:rsidR="006A4406">
        <w:rPr>
          <w:sz w:val="22"/>
          <w:szCs w:val="22"/>
        </w:rPr>
        <w:t>ervation of the environment of</w:t>
      </w:r>
      <w:r w:rsidRPr="00166AA1">
        <w:rPr>
          <w:sz w:val="22"/>
          <w:szCs w:val="22"/>
        </w:rPr>
        <w:t xml:space="preserve"> </w:t>
      </w:r>
      <w:proofErr w:type="spellStart"/>
      <w:r w:rsidRPr="00166AA1">
        <w:rPr>
          <w:sz w:val="22"/>
          <w:szCs w:val="22"/>
        </w:rPr>
        <w:t>Botevgrad</w:t>
      </w:r>
      <w:proofErr w:type="spellEnd"/>
      <w:r w:rsidR="006A4406">
        <w:rPr>
          <w:sz w:val="22"/>
          <w:szCs w:val="22"/>
        </w:rPr>
        <w:t xml:space="preserve"> municipality</w:t>
      </w:r>
      <w:r w:rsidRPr="00166AA1">
        <w:rPr>
          <w:sz w:val="22"/>
          <w:szCs w:val="22"/>
        </w:rPr>
        <w:t xml:space="preserve">, the Municipality has decided to </w:t>
      </w:r>
      <w:r w:rsidRPr="009570E9">
        <w:rPr>
          <w:sz w:val="22"/>
          <w:szCs w:val="22"/>
        </w:rPr>
        <w:t xml:space="preserve">sign a contract in order to </w:t>
      </w:r>
      <w:r w:rsidRPr="009570E9">
        <w:rPr>
          <w:bCs/>
          <w:sz w:val="22"/>
          <w:szCs w:val="22"/>
        </w:rPr>
        <w:t>supply, delivery, unloading, training of employees of the Contracting authority and services under the warranty period for Firefighting truck. 1 pc is needed.</w:t>
      </w:r>
    </w:p>
    <w:p w14:paraId="2EF9E8FA" w14:textId="349C504A" w:rsidR="00EF74CF" w:rsidRPr="009570E9" w:rsidRDefault="00EF74CF" w:rsidP="00EF74CF">
      <w:pPr>
        <w:outlineLvl w:val="0"/>
        <w:rPr>
          <w:rStyle w:val="a6"/>
          <w:sz w:val="22"/>
          <w:szCs w:val="22"/>
          <w:u w:val="single"/>
          <w:lang w:val="en-GB"/>
        </w:rPr>
      </w:pPr>
      <w:r w:rsidRPr="009570E9">
        <w:rPr>
          <w:rStyle w:val="a6"/>
          <w:sz w:val="22"/>
          <w:szCs w:val="22"/>
          <w:u w:val="single"/>
          <w:lang w:val="en-GB"/>
        </w:rPr>
        <w:t>II.1.5) Estimated total value</w:t>
      </w:r>
    </w:p>
    <w:p w14:paraId="7F377B2C" w14:textId="65E8B17E" w:rsidR="00166AA1" w:rsidRPr="009570E9" w:rsidRDefault="00166AA1" w:rsidP="00166AA1">
      <w:pPr>
        <w:jc w:val="both"/>
        <w:outlineLvl w:val="0"/>
        <w:rPr>
          <w:sz w:val="22"/>
          <w:szCs w:val="22"/>
        </w:rPr>
      </w:pPr>
      <w:r w:rsidRPr="009570E9">
        <w:rPr>
          <w:b/>
          <w:sz w:val="22"/>
          <w:szCs w:val="22"/>
        </w:rPr>
        <w:t xml:space="preserve">Within the contract a supply, delivery, unloading, training of employees of the Contracting authority and services under the warranty period for </w:t>
      </w:r>
      <w:r w:rsidRPr="009570E9">
        <w:rPr>
          <w:b/>
          <w:bCs/>
          <w:sz w:val="22"/>
          <w:szCs w:val="22"/>
        </w:rPr>
        <w:t>Firefighting truck</w:t>
      </w:r>
      <w:r w:rsidRPr="009570E9">
        <w:rPr>
          <w:sz w:val="22"/>
          <w:szCs w:val="22"/>
        </w:rPr>
        <w:t xml:space="preserve"> </w:t>
      </w:r>
      <w:r w:rsidRPr="009570E9">
        <w:rPr>
          <w:b/>
          <w:sz w:val="22"/>
          <w:szCs w:val="22"/>
        </w:rPr>
        <w:t xml:space="preserve">- 1 pc ( </w:t>
      </w:r>
      <w:r w:rsidRPr="009570E9">
        <w:rPr>
          <w:sz w:val="22"/>
          <w:szCs w:val="22"/>
          <w:lang w:val="en-GB"/>
        </w:rPr>
        <w:t xml:space="preserve">Payload: ≤ 7500 kg, Movement: 4x4, Engine: Diesel, common rail or similar/or equivalent, Min. EURO 6, Min. 130 kW, Min. 2500 sm3, Seats: 2+1, locking of the rear differential and transfer box, Capacity of the water tank: Minimum 2000 1, Fire superstructure with dismount-capacity: Locking mechanism, with interchangeable parts, easily mount-dismount towards the chassis of the truck, Side sections (one by each side) for firefighting equipment: 2 pcs, Adjustable supports for provision parking of the superstructure after the dismount: 4 pcs, Type-membrane: min 40 bar pressure mill. 50 1/minute flow rate, Gasoline or diesel power generator: min.9 </w:t>
      </w:r>
      <w:proofErr w:type="spellStart"/>
      <w:r w:rsidRPr="009570E9">
        <w:rPr>
          <w:sz w:val="22"/>
          <w:szCs w:val="22"/>
          <w:lang w:val="en-GB"/>
        </w:rPr>
        <w:t>h.p</w:t>
      </w:r>
      <w:proofErr w:type="spellEnd"/>
      <w:r w:rsidRPr="009570E9">
        <w:rPr>
          <w:sz w:val="22"/>
          <w:szCs w:val="22"/>
          <w:lang w:val="en-GB"/>
        </w:rPr>
        <w:t xml:space="preserve">. with an electrical starter; Reel with installed hose-pipe: min. 50 m, at </w:t>
      </w:r>
      <w:r w:rsidRPr="009570E9">
        <w:rPr>
          <w:sz w:val="22"/>
          <w:szCs w:val="22"/>
          <w:lang w:val="sv-SE"/>
        </w:rPr>
        <w:t xml:space="preserve">the rear of the truck; Nozzle with spray-module, STORZ quick connection coupling, Training of the employers of the Contracting Authority) </w:t>
      </w:r>
      <w:r w:rsidRPr="009570E9">
        <w:rPr>
          <w:b/>
          <w:sz w:val="22"/>
          <w:szCs w:val="22"/>
        </w:rPr>
        <w:t>is needed.</w:t>
      </w:r>
    </w:p>
    <w:p w14:paraId="33FFDFE9" w14:textId="1C9CA143" w:rsidR="00DB35A9" w:rsidRPr="009570E9" w:rsidRDefault="00DB35A9" w:rsidP="00DB35A9">
      <w:pPr>
        <w:outlineLvl w:val="0"/>
        <w:rPr>
          <w:rStyle w:val="a6"/>
          <w:sz w:val="22"/>
          <w:szCs w:val="22"/>
          <w:u w:val="single"/>
          <w:lang w:val="en-GB"/>
        </w:rPr>
      </w:pPr>
      <w:r w:rsidRPr="009570E9">
        <w:rPr>
          <w:rStyle w:val="a6"/>
          <w:sz w:val="22"/>
          <w:szCs w:val="22"/>
          <w:u w:val="single"/>
          <w:lang w:val="en-GB"/>
        </w:rPr>
        <w:t>IV.1.1.) Type of Procedure</w:t>
      </w:r>
    </w:p>
    <w:p w14:paraId="7A3DC070" w14:textId="5847553E" w:rsidR="00DB35A9" w:rsidRPr="009570E9" w:rsidRDefault="00DB35A9" w:rsidP="00DB35A9">
      <w:pPr>
        <w:outlineLvl w:val="0"/>
        <w:rPr>
          <w:rStyle w:val="a6"/>
          <w:b w:val="0"/>
          <w:sz w:val="22"/>
          <w:szCs w:val="22"/>
          <w:u w:val="single"/>
          <w:lang w:val="en-GB"/>
        </w:rPr>
      </w:pPr>
      <w:r w:rsidRPr="009570E9">
        <w:rPr>
          <w:rStyle w:val="a6"/>
          <w:b w:val="0"/>
          <w:sz w:val="22"/>
          <w:szCs w:val="22"/>
          <w:u w:val="single"/>
          <w:lang w:val="en-GB"/>
        </w:rPr>
        <w:lastRenderedPageBreak/>
        <w:t>Open</w:t>
      </w:r>
    </w:p>
    <w:p w14:paraId="2FB0BEEE" w14:textId="29100006" w:rsidR="00EF74CF" w:rsidRPr="009570E9" w:rsidRDefault="00EF74CF" w:rsidP="00EF74CF">
      <w:pPr>
        <w:outlineLvl w:val="0"/>
        <w:rPr>
          <w:rStyle w:val="a6"/>
          <w:sz w:val="22"/>
          <w:szCs w:val="22"/>
          <w:u w:val="single"/>
          <w:lang w:val="en-GB"/>
        </w:rPr>
      </w:pPr>
      <w:r w:rsidRPr="009570E9">
        <w:rPr>
          <w:rStyle w:val="a6"/>
          <w:sz w:val="22"/>
          <w:szCs w:val="22"/>
          <w:u w:val="single"/>
          <w:lang w:val="en-GB"/>
        </w:rPr>
        <w:t>II.1.6) Information about lots</w:t>
      </w:r>
    </w:p>
    <w:p w14:paraId="305F5140" w14:textId="77777777" w:rsidR="009570E9" w:rsidRPr="009570E9" w:rsidRDefault="00EF74CF" w:rsidP="00EF74CF">
      <w:pPr>
        <w:outlineLvl w:val="0"/>
        <w:rPr>
          <w:rStyle w:val="a6"/>
          <w:b w:val="0"/>
          <w:sz w:val="22"/>
          <w:szCs w:val="22"/>
          <w:lang w:val="en-GB"/>
        </w:rPr>
      </w:pPr>
      <w:r w:rsidRPr="009570E9">
        <w:rPr>
          <w:rStyle w:val="a6"/>
          <w:b w:val="0"/>
          <w:sz w:val="22"/>
          <w:szCs w:val="22"/>
          <w:lang w:val="en-GB"/>
        </w:rPr>
        <w:t>This contract is divided into lots:</w:t>
      </w:r>
      <w:r w:rsidRPr="009570E9">
        <w:rPr>
          <w:rStyle w:val="a6"/>
          <w:sz w:val="22"/>
          <w:szCs w:val="22"/>
          <w:lang w:val="en-GB"/>
        </w:rPr>
        <w:t xml:space="preserve"> </w:t>
      </w:r>
      <w:r w:rsidRPr="009570E9">
        <w:rPr>
          <w:rStyle w:val="a6"/>
          <w:b w:val="0"/>
          <w:sz w:val="22"/>
          <w:szCs w:val="22"/>
          <w:lang w:val="en-GB"/>
        </w:rPr>
        <w:t>no</w:t>
      </w:r>
    </w:p>
    <w:p w14:paraId="3F22C197" w14:textId="1D56BA8F" w:rsidR="00DB35A9" w:rsidRPr="009570E9" w:rsidRDefault="00297B55" w:rsidP="008F66E7">
      <w:pPr>
        <w:outlineLvl w:val="0"/>
        <w:rPr>
          <w:b/>
          <w:sz w:val="22"/>
          <w:szCs w:val="22"/>
          <w:u w:val="single"/>
        </w:rPr>
      </w:pPr>
      <w:r w:rsidRPr="009570E9">
        <w:rPr>
          <w:rStyle w:val="a6"/>
          <w:sz w:val="22"/>
          <w:szCs w:val="22"/>
          <w:u w:val="single"/>
        </w:rPr>
        <w:t>CALL FOR TENDER: INFORMATION PER LOT</w:t>
      </w:r>
    </w:p>
    <w:p w14:paraId="7579633B" w14:textId="4A473D4E" w:rsidR="00EF74CF" w:rsidRPr="009570E9" w:rsidRDefault="00EF74CF" w:rsidP="00EF74CF">
      <w:pPr>
        <w:outlineLvl w:val="0"/>
        <w:rPr>
          <w:rStyle w:val="a6"/>
          <w:sz w:val="22"/>
          <w:szCs w:val="22"/>
          <w:u w:val="single"/>
        </w:rPr>
      </w:pPr>
      <w:r w:rsidRPr="009570E9">
        <w:rPr>
          <w:rStyle w:val="a6"/>
          <w:sz w:val="22"/>
          <w:szCs w:val="22"/>
          <w:u w:val="single"/>
        </w:rPr>
        <w:t xml:space="preserve">II.2.3) Place </w:t>
      </w:r>
      <w:r w:rsidR="000E767D" w:rsidRPr="009570E9">
        <w:rPr>
          <w:rStyle w:val="a6"/>
          <w:sz w:val="22"/>
          <w:szCs w:val="22"/>
          <w:u w:val="single"/>
        </w:rPr>
        <w:t xml:space="preserve">of </w:t>
      </w:r>
      <w:r w:rsidRPr="009570E9">
        <w:rPr>
          <w:rStyle w:val="a6"/>
          <w:sz w:val="22"/>
          <w:szCs w:val="22"/>
          <w:u w:val="single"/>
        </w:rPr>
        <w:t>performance</w:t>
      </w:r>
    </w:p>
    <w:p w14:paraId="4CE0C066" w14:textId="1ED749FF" w:rsidR="00EF74CF" w:rsidRPr="009570E9" w:rsidRDefault="00CC6D8C" w:rsidP="00EF74CF">
      <w:pPr>
        <w:outlineLvl w:val="0"/>
        <w:rPr>
          <w:rStyle w:val="a6"/>
          <w:b w:val="0"/>
          <w:sz w:val="22"/>
          <w:szCs w:val="22"/>
          <w:lang w:val="en-GB"/>
        </w:rPr>
      </w:pPr>
      <w:r w:rsidRPr="009570E9">
        <w:rPr>
          <w:rStyle w:val="a6"/>
          <w:b w:val="0"/>
          <w:sz w:val="22"/>
          <w:szCs w:val="22"/>
          <w:lang w:val="en-GB"/>
        </w:rPr>
        <w:t>Geographical zone benefitting from the action</w:t>
      </w:r>
      <w:r w:rsidR="00EF74CF" w:rsidRPr="009570E9">
        <w:rPr>
          <w:rStyle w:val="a6"/>
          <w:b w:val="0"/>
          <w:sz w:val="22"/>
          <w:szCs w:val="22"/>
          <w:lang w:val="en-GB"/>
        </w:rPr>
        <w:t xml:space="preserve">: </w:t>
      </w:r>
      <w:r w:rsidR="009570E9" w:rsidRPr="009570E9">
        <w:rPr>
          <w:rStyle w:val="a6"/>
          <w:b w:val="0"/>
          <w:sz w:val="22"/>
          <w:szCs w:val="22"/>
          <w:lang w:val="en-GB"/>
        </w:rPr>
        <w:t xml:space="preserve">Municipality of </w:t>
      </w:r>
      <w:proofErr w:type="spellStart"/>
      <w:r w:rsidR="009570E9" w:rsidRPr="009570E9">
        <w:rPr>
          <w:rStyle w:val="a6"/>
          <w:b w:val="0"/>
          <w:sz w:val="22"/>
          <w:szCs w:val="22"/>
          <w:lang w:val="en-GB"/>
        </w:rPr>
        <w:t>Botevgrad</w:t>
      </w:r>
      <w:proofErr w:type="spellEnd"/>
      <w:r w:rsidR="009570E9" w:rsidRPr="009570E9">
        <w:rPr>
          <w:rStyle w:val="a6"/>
          <w:b w:val="0"/>
          <w:sz w:val="22"/>
          <w:szCs w:val="22"/>
          <w:lang w:val="en-GB"/>
        </w:rPr>
        <w:t>, Republic of Bulgaria</w:t>
      </w:r>
    </w:p>
    <w:p w14:paraId="6541ED88" w14:textId="30FC4B14" w:rsidR="00EF74CF" w:rsidRPr="009570E9" w:rsidRDefault="00EF74CF" w:rsidP="00EF74CF">
      <w:pPr>
        <w:outlineLvl w:val="0"/>
        <w:rPr>
          <w:rStyle w:val="a6"/>
          <w:sz w:val="22"/>
          <w:szCs w:val="22"/>
          <w:u w:val="single"/>
          <w:lang w:val="en-GB"/>
        </w:rPr>
      </w:pPr>
      <w:r w:rsidRPr="009570E9">
        <w:rPr>
          <w:rStyle w:val="a6"/>
          <w:sz w:val="22"/>
          <w:szCs w:val="22"/>
          <w:u w:val="single"/>
          <w:lang w:val="en-GB"/>
        </w:rPr>
        <w:t>II.2.5</w:t>
      </w:r>
      <w:proofErr w:type="gramStart"/>
      <w:r w:rsidRPr="009570E9">
        <w:rPr>
          <w:rStyle w:val="a6"/>
          <w:sz w:val="22"/>
          <w:szCs w:val="22"/>
          <w:u w:val="single"/>
          <w:lang w:val="en-GB"/>
        </w:rPr>
        <w:t>)  Award</w:t>
      </w:r>
      <w:proofErr w:type="gramEnd"/>
      <w:r w:rsidRPr="009570E9">
        <w:rPr>
          <w:rStyle w:val="a6"/>
          <w:sz w:val="22"/>
          <w:szCs w:val="22"/>
          <w:u w:val="single"/>
          <w:lang w:val="en-GB"/>
        </w:rPr>
        <w:t xml:space="preserve"> Criteria</w:t>
      </w:r>
    </w:p>
    <w:p w14:paraId="29398B5C" w14:textId="74CA2115" w:rsidR="004E29A2" w:rsidRDefault="00EF74CF" w:rsidP="00EF74CF">
      <w:pPr>
        <w:outlineLvl w:val="0"/>
        <w:rPr>
          <w:rStyle w:val="a6"/>
          <w:b w:val="0"/>
          <w:sz w:val="22"/>
          <w:szCs w:val="22"/>
          <w:lang w:val="en-GB"/>
        </w:rPr>
      </w:pPr>
      <w:r w:rsidRPr="009570E9">
        <w:rPr>
          <w:rStyle w:val="a6"/>
          <w:b w:val="0"/>
          <w:sz w:val="22"/>
          <w:szCs w:val="22"/>
          <w:lang w:val="en-GB"/>
        </w:rPr>
        <w:t>Pric</w:t>
      </w:r>
      <w:r w:rsidR="009570E9">
        <w:rPr>
          <w:rStyle w:val="a6"/>
          <w:b w:val="0"/>
          <w:sz w:val="22"/>
          <w:szCs w:val="22"/>
          <w:lang w:val="en-GB"/>
        </w:rPr>
        <w:t>e</w:t>
      </w:r>
    </w:p>
    <w:p w14:paraId="07BCA421" w14:textId="77777777" w:rsidR="00963E72" w:rsidRPr="00963E72" w:rsidRDefault="00963E72" w:rsidP="00963E72">
      <w:pPr>
        <w:snapToGrid w:val="0"/>
        <w:outlineLvl w:val="0"/>
        <w:rPr>
          <w:b/>
          <w:snapToGrid/>
          <w:sz w:val="22"/>
          <w:szCs w:val="22"/>
          <w:u w:val="single"/>
          <w:lang w:val="en-GB"/>
        </w:rPr>
      </w:pPr>
      <w:r w:rsidRPr="00963E72">
        <w:rPr>
          <w:b/>
          <w:snapToGrid/>
          <w:sz w:val="22"/>
          <w:szCs w:val="22"/>
          <w:u w:val="single"/>
          <w:lang w:val="en-GB"/>
        </w:rPr>
        <w:t>II.2.14) Additional information</w:t>
      </w:r>
    </w:p>
    <w:p w14:paraId="6AF12D66" w14:textId="77777777" w:rsidR="00963E72" w:rsidRPr="00963E72" w:rsidRDefault="00963E72" w:rsidP="00963E72">
      <w:pPr>
        <w:snapToGrid w:val="0"/>
        <w:outlineLvl w:val="0"/>
        <w:rPr>
          <w:snapToGrid/>
          <w:sz w:val="22"/>
          <w:szCs w:val="22"/>
          <w:lang w:val="en-GB"/>
        </w:rPr>
      </w:pPr>
      <w:r w:rsidRPr="00963E72">
        <w:rPr>
          <w:snapToGrid/>
          <w:sz w:val="22"/>
          <w:szCs w:val="22"/>
          <w:lang w:val="en-GB"/>
        </w:rPr>
        <w:t xml:space="preserve">Repetition of similar services/works </w:t>
      </w:r>
    </w:p>
    <w:p w14:paraId="09641439" w14:textId="6C8ABC44" w:rsidR="00963E72" w:rsidRPr="00963E72" w:rsidRDefault="00963E72" w:rsidP="00963E72">
      <w:pPr>
        <w:jc w:val="both"/>
        <w:outlineLvl w:val="0"/>
        <w:rPr>
          <w:sz w:val="22"/>
          <w:szCs w:val="22"/>
        </w:rPr>
      </w:pPr>
      <w:r w:rsidRPr="00963E72">
        <w:rPr>
          <w:sz w:val="22"/>
          <w:szCs w:val="22"/>
          <w:lang w:val="en-GB"/>
        </w:rPr>
        <w:t xml:space="preserve">Provided they are in conformity with the basic project, new services or works consisting in the repetition of similar services or works, may be entrusted up to </w:t>
      </w:r>
      <w:r>
        <w:rPr>
          <w:sz w:val="22"/>
          <w:szCs w:val="22"/>
          <w:lang w:val="en-GB"/>
        </w:rPr>
        <w:t>0 %</w:t>
      </w:r>
      <w:r w:rsidRPr="00963E72">
        <w:rPr>
          <w:sz w:val="22"/>
          <w:szCs w:val="22"/>
          <w:lang w:val="en-GB"/>
        </w:rPr>
        <w:t xml:space="preserve"> of the initial contract to the initial contractor by negotiated procedure without prior publication of a contract notice.</w:t>
      </w:r>
      <w:bookmarkStart w:id="1" w:name="_GoBack"/>
      <w:bookmarkEnd w:id="1"/>
    </w:p>
    <w:p w14:paraId="4772D783" w14:textId="536A52EE" w:rsidR="00CC6D8C" w:rsidRPr="009570E9" w:rsidRDefault="00CC6D8C" w:rsidP="00CC6D8C">
      <w:pPr>
        <w:outlineLvl w:val="0"/>
        <w:rPr>
          <w:rStyle w:val="a6"/>
          <w:sz w:val="22"/>
          <w:szCs w:val="22"/>
          <w:u w:val="single"/>
          <w:lang w:val="en-GB"/>
        </w:rPr>
      </w:pPr>
      <w:r w:rsidRPr="009570E9">
        <w:rPr>
          <w:rStyle w:val="a6"/>
          <w:sz w:val="22"/>
          <w:szCs w:val="22"/>
          <w:u w:val="single"/>
          <w:lang w:val="en-GB"/>
        </w:rPr>
        <w:t xml:space="preserve">IV.2.2) Time limit for </w:t>
      </w:r>
      <w:r w:rsidR="00D25196" w:rsidRPr="009570E9">
        <w:rPr>
          <w:rStyle w:val="a6"/>
          <w:sz w:val="22"/>
          <w:szCs w:val="22"/>
          <w:u w:val="single"/>
          <w:lang w:val="en-GB"/>
        </w:rPr>
        <w:t>submission</w:t>
      </w:r>
      <w:r w:rsidRPr="009570E9">
        <w:rPr>
          <w:rStyle w:val="a6"/>
          <w:sz w:val="22"/>
          <w:szCs w:val="22"/>
          <w:u w:val="single"/>
          <w:lang w:val="en-GB"/>
        </w:rPr>
        <w:t xml:space="preserve"> of tenders or requests to participate</w:t>
      </w:r>
    </w:p>
    <w:p w14:paraId="1BC28BB7" w14:textId="71CB4713" w:rsidR="00CC6D8C" w:rsidRPr="009570E9" w:rsidRDefault="00CC6D8C" w:rsidP="00CC6D8C">
      <w:pPr>
        <w:outlineLvl w:val="0"/>
        <w:rPr>
          <w:rStyle w:val="a6"/>
          <w:b w:val="0"/>
          <w:sz w:val="22"/>
          <w:szCs w:val="22"/>
          <w:lang w:val="en-GB"/>
        </w:rPr>
      </w:pPr>
      <w:r w:rsidRPr="009570E9">
        <w:rPr>
          <w:rStyle w:val="a6"/>
          <w:b w:val="0"/>
          <w:sz w:val="22"/>
          <w:szCs w:val="22"/>
          <w:lang w:val="en-GB"/>
        </w:rPr>
        <w:t xml:space="preserve">Date: </w:t>
      </w:r>
      <w:r w:rsidR="009570E9" w:rsidRPr="009570E9">
        <w:rPr>
          <w:rStyle w:val="a6"/>
          <w:b w:val="0"/>
          <w:sz w:val="22"/>
          <w:szCs w:val="22"/>
          <w:lang w:val="en-GB"/>
        </w:rPr>
        <w:t>0</w:t>
      </w:r>
      <w:r w:rsidR="006A4406">
        <w:rPr>
          <w:rStyle w:val="a6"/>
          <w:b w:val="0"/>
          <w:sz w:val="22"/>
          <w:szCs w:val="22"/>
          <w:lang w:val="en-GB"/>
        </w:rPr>
        <w:t>9</w:t>
      </w:r>
      <w:r w:rsidR="009570E9" w:rsidRPr="009570E9">
        <w:rPr>
          <w:rStyle w:val="a6"/>
          <w:b w:val="0"/>
          <w:sz w:val="22"/>
          <w:szCs w:val="22"/>
          <w:lang w:val="en-GB"/>
        </w:rPr>
        <w:t>.09.2022</w:t>
      </w:r>
      <w:r w:rsidRPr="009570E9">
        <w:rPr>
          <w:rStyle w:val="a6"/>
          <w:b w:val="0"/>
          <w:sz w:val="22"/>
          <w:szCs w:val="22"/>
          <w:lang w:val="en-GB"/>
        </w:rPr>
        <w:br/>
        <w:t>Local Time</w:t>
      </w:r>
      <w:r w:rsidR="00D44E75" w:rsidRPr="009570E9">
        <w:rPr>
          <w:rStyle w:val="a6"/>
          <w:b w:val="0"/>
          <w:sz w:val="22"/>
          <w:szCs w:val="22"/>
          <w:lang w:val="en-GB"/>
        </w:rPr>
        <w:t xml:space="preserve"> </w:t>
      </w:r>
      <w:r w:rsidR="009570E9" w:rsidRPr="009570E9">
        <w:rPr>
          <w:rStyle w:val="a6"/>
          <w:b w:val="0"/>
          <w:sz w:val="22"/>
          <w:szCs w:val="22"/>
          <w:lang w:val="en-GB"/>
        </w:rPr>
        <w:t>17:30</w:t>
      </w:r>
    </w:p>
    <w:p w14:paraId="1176BE21" w14:textId="4AA01007" w:rsidR="00CC6D8C" w:rsidRPr="009570E9" w:rsidRDefault="00CC6D8C" w:rsidP="00CC6D8C">
      <w:pPr>
        <w:outlineLvl w:val="0"/>
        <w:rPr>
          <w:rStyle w:val="a6"/>
          <w:sz w:val="22"/>
          <w:szCs w:val="22"/>
          <w:u w:val="single"/>
          <w:lang w:val="en-GB"/>
        </w:rPr>
      </w:pPr>
      <w:r w:rsidRPr="009570E9">
        <w:rPr>
          <w:rStyle w:val="a6"/>
          <w:sz w:val="22"/>
          <w:szCs w:val="22"/>
          <w:u w:val="single"/>
          <w:lang w:val="en-GB"/>
        </w:rPr>
        <w:t>IV.2.6) Minimum time frame during which the tenderer must maintain the tender</w:t>
      </w:r>
    </w:p>
    <w:p w14:paraId="1368B8E1" w14:textId="7DB2E413" w:rsidR="00CC6D8C" w:rsidRPr="009570E9" w:rsidRDefault="00CC6D8C" w:rsidP="00CC6D8C">
      <w:pPr>
        <w:outlineLvl w:val="0"/>
        <w:rPr>
          <w:rStyle w:val="a6"/>
          <w:b w:val="0"/>
          <w:sz w:val="22"/>
          <w:szCs w:val="22"/>
          <w:lang w:val="en-GB"/>
        </w:rPr>
      </w:pPr>
      <w:r w:rsidRPr="009570E9">
        <w:rPr>
          <w:rStyle w:val="a6"/>
          <w:b w:val="0"/>
          <w:sz w:val="22"/>
          <w:szCs w:val="22"/>
          <w:lang w:val="en-GB"/>
        </w:rPr>
        <w:t xml:space="preserve">Duration in </w:t>
      </w:r>
      <w:r w:rsidR="003014F5">
        <w:rPr>
          <w:rStyle w:val="a6"/>
          <w:b w:val="0"/>
          <w:sz w:val="22"/>
          <w:szCs w:val="22"/>
          <w:lang w:val="en-GB"/>
        </w:rPr>
        <w:t>days</w:t>
      </w:r>
      <w:r w:rsidRPr="009570E9">
        <w:rPr>
          <w:rStyle w:val="a6"/>
          <w:b w:val="0"/>
          <w:sz w:val="22"/>
          <w:szCs w:val="22"/>
          <w:lang w:val="en-GB"/>
        </w:rPr>
        <w:t xml:space="preserve">: </w:t>
      </w:r>
      <w:r w:rsidR="003014F5">
        <w:rPr>
          <w:rStyle w:val="a6"/>
          <w:b w:val="0"/>
          <w:sz w:val="22"/>
          <w:szCs w:val="22"/>
          <w:lang w:val="en-GB"/>
        </w:rPr>
        <w:t>30</w:t>
      </w:r>
      <w:r w:rsidRPr="009570E9">
        <w:rPr>
          <w:rStyle w:val="a6"/>
          <w:b w:val="0"/>
          <w:sz w:val="22"/>
          <w:szCs w:val="22"/>
          <w:lang w:val="en-GB"/>
        </w:rPr>
        <w:t xml:space="preserve"> (from the date stated for receipt of tender)</w:t>
      </w:r>
    </w:p>
    <w:p w14:paraId="33894EC1" w14:textId="5D0CB4FF" w:rsidR="00CC6D8C" w:rsidRPr="009570E9" w:rsidRDefault="00CC6D8C" w:rsidP="00CC6D8C">
      <w:pPr>
        <w:outlineLvl w:val="0"/>
        <w:rPr>
          <w:rStyle w:val="a6"/>
          <w:sz w:val="22"/>
          <w:szCs w:val="22"/>
          <w:u w:val="single"/>
          <w:lang w:val="en-GB"/>
        </w:rPr>
      </w:pPr>
      <w:r w:rsidRPr="009570E9">
        <w:rPr>
          <w:rStyle w:val="a6"/>
          <w:sz w:val="22"/>
          <w:szCs w:val="22"/>
          <w:u w:val="single"/>
          <w:lang w:val="en-GB"/>
        </w:rPr>
        <w:t xml:space="preserve">IV.2.7) Conditions for opening of tenders </w:t>
      </w:r>
    </w:p>
    <w:p w14:paraId="4B3F0DCB" w14:textId="7AFAB636" w:rsidR="00DE28AE" w:rsidRPr="00D225CC" w:rsidRDefault="00CC6D8C" w:rsidP="008F66E7">
      <w:pPr>
        <w:outlineLvl w:val="0"/>
        <w:rPr>
          <w:lang w:val="en-GB"/>
        </w:rPr>
      </w:pPr>
      <w:r w:rsidRPr="009570E9">
        <w:rPr>
          <w:rStyle w:val="a6"/>
          <w:b w:val="0"/>
          <w:sz w:val="22"/>
          <w:szCs w:val="22"/>
          <w:lang w:val="en-GB"/>
        </w:rPr>
        <w:t>Date:</w:t>
      </w:r>
      <w:r w:rsidRPr="009570E9">
        <w:rPr>
          <w:rStyle w:val="a6"/>
          <w:b w:val="0"/>
          <w:sz w:val="22"/>
          <w:szCs w:val="22"/>
          <w:u w:val="single"/>
          <w:lang w:val="en-GB"/>
        </w:rPr>
        <w:t xml:space="preserve"> </w:t>
      </w:r>
      <w:r w:rsidR="006A4406">
        <w:rPr>
          <w:sz w:val="22"/>
          <w:szCs w:val="22"/>
          <w:lang w:val="en-GB"/>
        </w:rPr>
        <w:t>12</w:t>
      </w:r>
      <w:r w:rsidR="009570E9" w:rsidRPr="009570E9">
        <w:rPr>
          <w:sz w:val="22"/>
          <w:szCs w:val="22"/>
          <w:lang w:val="en-GB"/>
        </w:rPr>
        <w:t>.09.2022</w:t>
      </w:r>
      <w:r w:rsidRPr="009570E9">
        <w:rPr>
          <w:rStyle w:val="a6"/>
          <w:b w:val="0"/>
          <w:sz w:val="22"/>
          <w:szCs w:val="22"/>
          <w:u w:val="single"/>
          <w:lang w:val="en-GB"/>
        </w:rPr>
        <w:br/>
      </w:r>
      <w:r w:rsidRPr="009570E9">
        <w:rPr>
          <w:rStyle w:val="a6"/>
          <w:b w:val="0"/>
          <w:sz w:val="22"/>
          <w:szCs w:val="22"/>
          <w:lang w:val="en-GB"/>
        </w:rPr>
        <w:t>Local time</w:t>
      </w:r>
      <w:r w:rsidR="00135FF0" w:rsidRPr="009570E9">
        <w:rPr>
          <w:rStyle w:val="a6"/>
          <w:b w:val="0"/>
          <w:sz w:val="22"/>
          <w:szCs w:val="22"/>
          <w:lang w:val="en-GB"/>
        </w:rPr>
        <w:t xml:space="preserve"> </w:t>
      </w:r>
      <w:r w:rsidR="009570E9" w:rsidRPr="009570E9">
        <w:rPr>
          <w:rStyle w:val="a6"/>
          <w:b w:val="0"/>
          <w:sz w:val="22"/>
          <w:szCs w:val="22"/>
          <w:lang w:val="en-GB"/>
        </w:rPr>
        <w:t>10:00</w:t>
      </w:r>
      <w:r w:rsidRPr="009570E9">
        <w:rPr>
          <w:rStyle w:val="a6"/>
          <w:sz w:val="22"/>
          <w:szCs w:val="22"/>
          <w:u w:val="single"/>
          <w:lang w:val="en-GB"/>
        </w:rPr>
        <w:br/>
      </w:r>
      <w:r w:rsidRPr="009570E9">
        <w:rPr>
          <w:rStyle w:val="a6"/>
          <w:b w:val="0"/>
          <w:sz w:val="22"/>
          <w:szCs w:val="22"/>
          <w:lang w:val="en-GB"/>
        </w:rPr>
        <w:t xml:space="preserve">Place: </w:t>
      </w:r>
      <w:r w:rsidR="009570E9" w:rsidRPr="009570E9">
        <w:rPr>
          <w:sz w:val="22"/>
          <w:szCs w:val="22"/>
        </w:rPr>
        <w:t>13 "</w:t>
      </w:r>
      <w:proofErr w:type="spellStart"/>
      <w:r w:rsidR="009570E9" w:rsidRPr="009570E9">
        <w:rPr>
          <w:sz w:val="22"/>
          <w:szCs w:val="22"/>
        </w:rPr>
        <w:t>Osvobozhdenie</w:t>
      </w:r>
      <w:proofErr w:type="spellEnd"/>
      <w:r w:rsidR="009570E9" w:rsidRPr="009570E9">
        <w:rPr>
          <w:sz w:val="22"/>
          <w:szCs w:val="22"/>
        </w:rPr>
        <w:t xml:space="preserve">" sq., </w:t>
      </w:r>
      <w:proofErr w:type="spellStart"/>
      <w:r w:rsidR="009570E9" w:rsidRPr="009570E9">
        <w:rPr>
          <w:sz w:val="22"/>
          <w:szCs w:val="22"/>
        </w:rPr>
        <w:t>Botevgrad</w:t>
      </w:r>
      <w:proofErr w:type="spellEnd"/>
      <w:r w:rsidR="009570E9" w:rsidRPr="009570E9">
        <w:rPr>
          <w:sz w:val="22"/>
          <w:szCs w:val="22"/>
        </w:rPr>
        <w:t>, Republic of Bulgaria</w:t>
      </w:r>
    </w:p>
    <w:sectPr w:rsidR="00DE28AE" w:rsidRPr="00D225CC" w:rsidSect="00166AA1">
      <w:headerReference w:type="default" r:id="rId12"/>
      <w:footerReference w:type="default" r:id="rId13"/>
      <w:pgSz w:w="12240" w:h="15840"/>
      <w:pgMar w:top="709" w:right="1440" w:bottom="1276" w:left="1418"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3EE89C" w14:textId="77777777" w:rsidR="003D3CA8" w:rsidRDefault="003D3CA8">
      <w:r>
        <w:separator/>
      </w:r>
    </w:p>
  </w:endnote>
  <w:endnote w:type="continuationSeparator" w:id="0">
    <w:p w14:paraId="097F15C3" w14:textId="77777777" w:rsidR="003D3CA8" w:rsidRDefault="003D3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5EB6D" w14:textId="77777777" w:rsidR="00166AA1" w:rsidRPr="002B4F21" w:rsidRDefault="00166AA1" w:rsidP="00166AA1">
    <w:pPr>
      <w:pStyle w:val="a9"/>
      <w:tabs>
        <w:tab w:val="right" w:pos="9214"/>
      </w:tabs>
      <w:spacing w:before="120"/>
      <w:jc w:val="center"/>
      <w:rPr>
        <w:b/>
        <w:bCs/>
        <w:i/>
        <w:sz w:val="18"/>
        <w:szCs w:val="18"/>
        <w:lang w:val="en-GB"/>
      </w:rPr>
    </w:pPr>
    <w:r w:rsidRPr="002B4F21">
      <w:rPr>
        <w:b/>
        <w:bCs/>
        <w:i/>
        <w:sz w:val="18"/>
        <w:szCs w:val="18"/>
        <w:lang w:val="en-GB"/>
      </w:rPr>
      <w:t>The project is co-funded by EU through the Interreg-IPA CBC Programme Bulgaria-Serbia</w:t>
    </w:r>
  </w:p>
  <w:p w14:paraId="25A68561" w14:textId="62C5B4BC" w:rsidR="00B22E7F" w:rsidRDefault="004F74D1" w:rsidP="003D4201">
    <w:pPr>
      <w:pStyle w:val="a9"/>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5A78846F" w:rsidR="00EF0A8C" w:rsidRDefault="00B22E7F" w:rsidP="009F128B">
    <w:pPr>
      <w:pStyle w:val="a9"/>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ab"/>
        <w:sz w:val="18"/>
        <w:szCs w:val="18"/>
      </w:rPr>
      <w:fldChar w:fldCharType="begin"/>
    </w:r>
    <w:r w:rsidR="00EF0A8C" w:rsidRPr="009F128B">
      <w:rPr>
        <w:rStyle w:val="ab"/>
        <w:sz w:val="18"/>
        <w:szCs w:val="18"/>
      </w:rPr>
      <w:instrText xml:space="preserve"> PAGE </w:instrText>
    </w:r>
    <w:r w:rsidR="00EF0A8C" w:rsidRPr="009F128B">
      <w:rPr>
        <w:rStyle w:val="ab"/>
        <w:sz w:val="18"/>
        <w:szCs w:val="18"/>
      </w:rPr>
      <w:fldChar w:fldCharType="separate"/>
    </w:r>
    <w:r w:rsidR="00963E72">
      <w:rPr>
        <w:rStyle w:val="ab"/>
        <w:noProof/>
        <w:sz w:val="18"/>
        <w:szCs w:val="18"/>
      </w:rPr>
      <w:t>1</w:t>
    </w:r>
    <w:r w:rsidR="00EF0A8C" w:rsidRPr="009F128B">
      <w:rPr>
        <w:rStyle w:val="ab"/>
        <w:sz w:val="18"/>
        <w:szCs w:val="18"/>
      </w:rPr>
      <w:fldChar w:fldCharType="end"/>
    </w:r>
    <w:r>
      <w:rPr>
        <w:rStyle w:val="ab"/>
        <w:sz w:val="18"/>
        <w:szCs w:val="18"/>
      </w:rPr>
      <w:t xml:space="preserve"> of </w:t>
    </w:r>
    <w:r>
      <w:rPr>
        <w:rStyle w:val="ab"/>
        <w:sz w:val="18"/>
        <w:szCs w:val="18"/>
      </w:rPr>
      <w:fldChar w:fldCharType="begin"/>
    </w:r>
    <w:r>
      <w:rPr>
        <w:rStyle w:val="ab"/>
        <w:sz w:val="18"/>
        <w:szCs w:val="18"/>
      </w:rPr>
      <w:instrText xml:space="preserve"> NUMPAGES   \* MERGEFORMAT </w:instrText>
    </w:r>
    <w:r>
      <w:rPr>
        <w:rStyle w:val="ab"/>
        <w:sz w:val="18"/>
        <w:szCs w:val="18"/>
      </w:rPr>
      <w:fldChar w:fldCharType="separate"/>
    </w:r>
    <w:r w:rsidR="00963E72">
      <w:rPr>
        <w:rStyle w:val="ab"/>
        <w:noProof/>
        <w:sz w:val="18"/>
        <w:szCs w:val="18"/>
      </w:rPr>
      <w:t>2</w:t>
    </w:r>
    <w:r>
      <w:rPr>
        <w:rStyle w:val="ab"/>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9A54E" w14:textId="77777777" w:rsidR="003D3CA8" w:rsidRDefault="003D3CA8">
      <w:r>
        <w:separator/>
      </w:r>
    </w:p>
  </w:footnote>
  <w:footnote w:type="continuationSeparator" w:id="0">
    <w:p w14:paraId="57FED543" w14:textId="77777777" w:rsidR="003D3CA8" w:rsidRDefault="003D3CA8">
      <w:r>
        <w:continuationSeparator/>
      </w:r>
    </w:p>
  </w:footnote>
  <w:footnote w:id="1">
    <w:p w14:paraId="7C4E44E2" w14:textId="3455A607" w:rsidR="000617C9" w:rsidRPr="000617C9" w:rsidRDefault="000617C9" w:rsidP="000617C9">
      <w:pPr>
        <w:pStyle w:val="ac"/>
      </w:pPr>
      <w:r>
        <w:rPr>
          <w:rStyle w:val="ad"/>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a4"/>
            <w:sz w:val="18"/>
            <w:szCs w:val="18"/>
          </w:rPr>
          <w:t>http://simap.ted.europa.eu/en/web/simap/cpv</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tblLayout w:type="fixed"/>
      <w:tblLook w:val="01E0" w:firstRow="1" w:lastRow="1" w:firstColumn="1" w:lastColumn="1" w:noHBand="0" w:noVBand="0"/>
    </w:tblPr>
    <w:tblGrid>
      <w:gridCol w:w="5598"/>
      <w:gridCol w:w="1710"/>
      <w:gridCol w:w="2108"/>
    </w:tblGrid>
    <w:tr w:rsidR="00166AA1" w:rsidRPr="00166AA1" w14:paraId="02E237FF" w14:textId="77777777" w:rsidTr="005465FB">
      <w:tc>
        <w:tcPr>
          <w:tcW w:w="5598" w:type="dxa"/>
          <w:shd w:val="clear" w:color="auto" w:fill="auto"/>
        </w:tcPr>
        <w:p w14:paraId="6BBE308B" w14:textId="45767BE3" w:rsidR="00166AA1" w:rsidRPr="00166AA1" w:rsidRDefault="000A7B26" w:rsidP="00166AA1">
          <w:pPr>
            <w:pStyle w:val="a8"/>
            <w:rPr>
              <w:i/>
              <w:lang w:val="it-IT"/>
            </w:rPr>
          </w:pPr>
          <w:bookmarkStart w:id="2" w:name="_Hlk57106986"/>
          <w:bookmarkStart w:id="3" w:name="_Hlk57106987"/>
          <w:r w:rsidRPr="00166AA1">
            <w:rPr>
              <w:i/>
              <w:noProof/>
              <w:lang w:val="bg-BG" w:eastAsia="bg-BG"/>
            </w:rPr>
            <w:drawing>
              <wp:inline distT="0" distB="0" distL="0" distR="0" wp14:anchorId="34A6C4EF" wp14:editId="42796077">
                <wp:extent cx="3421380" cy="792480"/>
                <wp:effectExtent l="0" t="0" r="0" b="0"/>
                <wp:docPr id="21" name="Picture 4"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xt&#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1380" cy="792480"/>
                        </a:xfrm>
                        <a:prstGeom prst="rect">
                          <a:avLst/>
                        </a:prstGeom>
                        <a:noFill/>
                        <a:ln>
                          <a:noFill/>
                        </a:ln>
                      </pic:spPr>
                    </pic:pic>
                  </a:graphicData>
                </a:graphic>
              </wp:inline>
            </w:drawing>
          </w:r>
        </w:p>
      </w:tc>
      <w:tc>
        <w:tcPr>
          <w:tcW w:w="1710" w:type="dxa"/>
          <w:shd w:val="clear" w:color="auto" w:fill="auto"/>
        </w:tcPr>
        <w:p w14:paraId="7A592261" w14:textId="77777777" w:rsidR="00166AA1" w:rsidRPr="00166AA1" w:rsidRDefault="00166AA1" w:rsidP="00166AA1">
          <w:pPr>
            <w:pStyle w:val="a8"/>
            <w:rPr>
              <w:i/>
              <w:lang w:val="it-IT"/>
            </w:rPr>
          </w:pPr>
        </w:p>
        <w:p w14:paraId="4888D401" w14:textId="77777777" w:rsidR="00166AA1" w:rsidRPr="00166AA1" w:rsidRDefault="00166AA1" w:rsidP="00166AA1">
          <w:pPr>
            <w:pStyle w:val="a8"/>
            <w:rPr>
              <w:i/>
              <w:lang w:val="it-IT"/>
            </w:rPr>
          </w:pPr>
        </w:p>
      </w:tc>
      <w:tc>
        <w:tcPr>
          <w:tcW w:w="2108" w:type="dxa"/>
          <w:shd w:val="clear" w:color="auto" w:fill="auto"/>
        </w:tcPr>
        <w:p w14:paraId="443A1270" w14:textId="255F74C2" w:rsidR="00166AA1" w:rsidRPr="00166AA1" w:rsidRDefault="000A7B26" w:rsidP="00166AA1">
          <w:pPr>
            <w:pStyle w:val="a8"/>
            <w:rPr>
              <w:i/>
              <w:lang w:val="it-IT"/>
            </w:rPr>
          </w:pPr>
          <w:r w:rsidRPr="00166AA1">
            <w:rPr>
              <w:noProof/>
              <w:lang w:val="bg-BG" w:eastAsia="bg-BG"/>
            </w:rPr>
            <w:drawing>
              <wp:inline distT="0" distB="0" distL="0" distR="0" wp14:anchorId="48AB6E80" wp14:editId="4C9904F1">
                <wp:extent cx="1059180" cy="708660"/>
                <wp:effectExtent l="0" t="0" r="0" b="0"/>
                <wp:docPr id="19" name="Picture 3"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9180" cy="708660"/>
                        </a:xfrm>
                        <a:prstGeom prst="rect">
                          <a:avLst/>
                        </a:prstGeom>
                        <a:noFill/>
                        <a:ln>
                          <a:noFill/>
                        </a:ln>
                      </pic:spPr>
                    </pic:pic>
                  </a:graphicData>
                </a:graphic>
              </wp:inline>
            </w:drawing>
          </w:r>
        </w:p>
      </w:tc>
    </w:tr>
  </w:tbl>
  <w:bookmarkEnd w:id="2"/>
  <w:bookmarkEnd w:id="3"/>
  <w:p w14:paraId="39F1E070" w14:textId="1DBE3E0D" w:rsidR="00166AA1" w:rsidRPr="00166AA1" w:rsidRDefault="00166AA1" w:rsidP="006A4406">
    <w:pPr>
      <w:pStyle w:val="a8"/>
      <w:jc w:val="center"/>
      <w:rPr>
        <w:b/>
        <w:i/>
        <w:iCs/>
      </w:rPr>
    </w:pPr>
    <w:r w:rsidRPr="00166AA1">
      <w:rPr>
        <w:b/>
        <w:i/>
        <w:iCs/>
      </w:rPr>
      <w:t>Project CB007.2.32.165 The Environment - Future and Responsibility of All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n-GB"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A7B26"/>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66AA1"/>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14F5"/>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3CA8"/>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85F"/>
    <w:rsid w:val="00484BEE"/>
    <w:rsid w:val="004853B9"/>
    <w:rsid w:val="004901C2"/>
    <w:rsid w:val="00492DAA"/>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2625"/>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440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570E9"/>
    <w:rsid w:val="00960A2B"/>
    <w:rsid w:val="00963E72"/>
    <w:rsid w:val="009641B6"/>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3AAC"/>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11522"/>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77C56"/>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100" w:after="100"/>
    </w:pPr>
    <w:rPr>
      <w:snapToGrid w:val="0"/>
      <w:sz w:val="24"/>
      <w:lang w:val="en-US" w:eastAsia="en-US"/>
    </w:rPr>
  </w:style>
  <w:style w:type="paragraph" w:styleId="2">
    <w:name w:val="heading 2"/>
    <w:basedOn w:val="a"/>
    <w:next w:val="a"/>
    <w:qFormat/>
    <w:rsid w:val="007D6292"/>
    <w:pPr>
      <w:keepNext/>
      <w:widowControl/>
      <w:spacing w:before="120" w:after="120"/>
      <w:outlineLvl w:val="1"/>
    </w:pPr>
    <w:rPr>
      <w:rFonts w:ascii="Arial" w:hAnsi="Arial"/>
      <w:sz w:val="20"/>
      <w:lang w:val="fr-B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pPr>
      <w:spacing w:before="0" w:after="0"/>
    </w:pPr>
  </w:style>
  <w:style w:type="paragraph" w:customStyle="1" w:styleId="DefinitionList">
    <w:name w:val="Definition List"/>
    <w:basedOn w:val="a"/>
    <w:next w:val="DefinitionTerm"/>
    <w:pPr>
      <w:spacing w:before="0" w:after="0"/>
      <w:ind w:left="360"/>
    </w:pPr>
  </w:style>
  <w:style w:type="character" w:customStyle="1" w:styleId="Definition">
    <w:name w:val="Definition"/>
    <w:rPr>
      <w:i/>
    </w:rPr>
  </w:style>
  <w:style w:type="paragraph" w:customStyle="1" w:styleId="H1">
    <w:name w:val="H1"/>
    <w:basedOn w:val="a"/>
    <w:next w:val="a"/>
    <w:pPr>
      <w:keepNext/>
      <w:outlineLvl w:val="1"/>
    </w:pPr>
    <w:rPr>
      <w:b/>
      <w:kern w:val="36"/>
      <w:sz w:val="48"/>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4">
    <w:name w:val="H4"/>
    <w:basedOn w:val="a"/>
    <w:next w:val="a"/>
    <w:pPr>
      <w:keepNext/>
      <w:outlineLvl w:val="4"/>
    </w:pPr>
    <w:rPr>
      <w:b/>
    </w:rPr>
  </w:style>
  <w:style w:type="paragraph" w:customStyle="1" w:styleId="H5">
    <w:name w:val="H5"/>
    <w:basedOn w:val="a"/>
    <w:next w:val="a"/>
    <w:pPr>
      <w:keepNext/>
      <w:outlineLvl w:val="5"/>
    </w:pPr>
    <w:rPr>
      <w:b/>
      <w:sz w:val="20"/>
    </w:rPr>
  </w:style>
  <w:style w:type="paragraph" w:customStyle="1" w:styleId="H6">
    <w:name w:val="H6"/>
    <w:basedOn w:val="a"/>
    <w:next w:val="a"/>
    <w:pPr>
      <w:keepNext/>
      <w:outlineLvl w:val="6"/>
    </w:pPr>
    <w:rPr>
      <w:b/>
      <w:sz w:val="16"/>
    </w:rPr>
  </w:style>
  <w:style w:type="paragraph" w:customStyle="1" w:styleId="Address">
    <w:name w:val="Address"/>
    <w:basedOn w:val="a"/>
    <w:next w:val="a"/>
    <w:pPr>
      <w:spacing w:before="0" w:after="0"/>
    </w:pPr>
    <w:rPr>
      <w:i/>
    </w:rPr>
  </w:style>
  <w:style w:type="paragraph" w:customStyle="1" w:styleId="Blockquote">
    <w:name w:val="Blockquote"/>
    <w:basedOn w:val="a"/>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3">
    <w:name w:val="Emphasis"/>
    <w:qFormat/>
    <w:rPr>
      <w:i/>
    </w:rPr>
  </w:style>
  <w:style w:type="character" w:styleId="a4">
    <w:name w:val="Hyperlink"/>
    <w:rPr>
      <w:color w:val="0000FF"/>
      <w:u w:val="single"/>
    </w:rPr>
  </w:style>
  <w:style w:type="character" w:styleId="a5">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pPr>
      <w:widowControl w:val="0"/>
      <w:pBdr>
        <w:top w:val="double" w:sz="2" w:space="0" w:color="000000"/>
      </w:pBdr>
      <w:jc w:val="center"/>
    </w:pPr>
    <w:rPr>
      <w:rFonts w:ascii="Arial" w:hAnsi="Arial"/>
      <w:snapToGrid w:val="0"/>
      <w:vanish/>
      <w:sz w:val="16"/>
      <w:lang w:val="en-US" w:eastAsia="en-US"/>
    </w:rPr>
  </w:style>
  <w:style w:type="paragraph" w:styleId="z-0">
    <w:name w:val="HTML Top of Form"/>
    <w:next w:val="a"/>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a6">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7">
    <w:name w:val="Document Map"/>
    <w:basedOn w:val="a"/>
    <w:semiHidden/>
    <w:pPr>
      <w:shd w:val="clear" w:color="auto" w:fill="000080"/>
    </w:pPr>
    <w:rPr>
      <w:rFonts w:ascii="Tahoma" w:hAnsi="Tahoma"/>
    </w:rPr>
  </w:style>
  <w:style w:type="paragraph" w:styleId="a8">
    <w:name w:val="header"/>
    <w:basedOn w:val="a"/>
    <w:pPr>
      <w:tabs>
        <w:tab w:val="center" w:pos="4320"/>
        <w:tab w:val="right" w:pos="8640"/>
      </w:tabs>
    </w:pPr>
  </w:style>
  <w:style w:type="paragraph" w:styleId="a9">
    <w:name w:val="footer"/>
    <w:basedOn w:val="a"/>
    <w:link w:val="aa"/>
    <w:pPr>
      <w:tabs>
        <w:tab w:val="center" w:pos="4320"/>
        <w:tab w:val="right" w:pos="8640"/>
      </w:tabs>
    </w:pPr>
  </w:style>
  <w:style w:type="character" w:styleId="ab">
    <w:name w:val="page number"/>
    <w:basedOn w:val="a0"/>
    <w:rsid w:val="007F095B"/>
  </w:style>
  <w:style w:type="paragraph" w:styleId="3">
    <w:name w:val="Body Text 3"/>
    <w:basedOn w:val="a"/>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ac">
    <w:name w:val="footnote text"/>
    <w:basedOn w:val="a"/>
    <w:semiHidden/>
    <w:rsid w:val="001951FE"/>
    <w:rPr>
      <w:sz w:val="20"/>
    </w:rPr>
  </w:style>
  <w:style w:type="character" w:styleId="ad">
    <w:name w:val="footnote reference"/>
    <w:semiHidden/>
    <w:rsid w:val="001951FE"/>
    <w:rPr>
      <w:vertAlign w:val="superscript"/>
    </w:rPr>
  </w:style>
  <w:style w:type="character" w:customStyle="1" w:styleId="aa">
    <w:name w:val="Долен колонтитул Знак"/>
    <w:link w:val="a9"/>
    <w:rsid w:val="007727F3"/>
    <w:rPr>
      <w:snapToGrid w:val="0"/>
      <w:sz w:val="24"/>
      <w:lang w:val="en-US" w:eastAsia="en-US"/>
    </w:rPr>
  </w:style>
  <w:style w:type="paragraph" w:styleId="ae">
    <w:name w:val="Balloon Text"/>
    <w:basedOn w:val="a"/>
    <w:link w:val="af"/>
    <w:rsid w:val="00D240C3"/>
    <w:pPr>
      <w:spacing w:before="0" w:after="0"/>
    </w:pPr>
    <w:rPr>
      <w:rFonts w:ascii="Tahoma" w:hAnsi="Tahoma" w:cs="Tahoma"/>
      <w:sz w:val="16"/>
      <w:szCs w:val="16"/>
    </w:rPr>
  </w:style>
  <w:style w:type="character" w:customStyle="1" w:styleId="af">
    <w:name w:val="Изнесен текст Знак"/>
    <w:link w:val="ae"/>
    <w:rsid w:val="00D240C3"/>
    <w:rPr>
      <w:rFonts w:ascii="Tahoma" w:hAnsi="Tahoma" w:cs="Tahoma"/>
      <w:snapToGrid w:val="0"/>
      <w:sz w:val="16"/>
      <w:szCs w:val="16"/>
      <w:lang w:val="en-US" w:eastAsia="en-US"/>
    </w:rPr>
  </w:style>
  <w:style w:type="paragraph" w:styleId="af0">
    <w:name w:val="Normal (Web)"/>
    <w:basedOn w:val="a"/>
    <w:uiPriority w:val="99"/>
    <w:unhideWhenUsed/>
    <w:rsid w:val="001F5D80"/>
    <w:pPr>
      <w:widowControl/>
      <w:spacing w:beforeAutospacing="1" w:afterAutospacing="1"/>
    </w:pPr>
    <w:rPr>
      <w:snapToGrid/>
      <w:szCs w:val="24"/>
      <w:lang w:val="en-GB" w:eastAsia="en-GB"/>
    </w:rPr>
  </w:style>
  <w:style w:type="character" w:styleId="af1">
    <w:name w:val="annotation reference"/>
    <w:rsid w:val="00BC0714"/>
    <w:rPr>
      <w:sz w:val="16"/>
      <w:szCs w:val="16"/>
    </w:rPr>
  </w:style>
  <w:style w:type="paragraph" w:styleId="af2">
    <w:name w:val="annotation text"/>
    <w:basedOn w:val="a"/>
    <w:link w:val="af3"/>
    <w:rsid w:val="00BC0714"/>
    <w:rPr>
      <w:sz w:val="20"/>
    </w:rPr>
  </w:style>
  <w:style w:type="character" w:customStyle="1" w:styleId="af3">
    <w:name w:val="Текст на коментар Знак"/>
    <w:link w:val="af2"/>
    <w:rsid w:val="00BC0714"/>
    <w:rPr>
      <w:snapToGrid w:val="0"/>
      <w:lang w:val="en-US" w:eastAsia="en-US"/>
    </w:rPr>
  </w:style>
  <w:style w:type="paragraph" w:styleId="af4">
    <w:name w:val="annotation subject"/>
    <w:basedOn w:val="af2"/>
    <w:next w:val="af2"/>
    <w:link w:val="af5"/>
    <w:rsid w:val="00BC0714"/>
    <w:rPr>
      <w:b/>
      <w:bCs/>
    </w:rPr>
  </w:style>
  <w:style w:type="character" w:customStyle="1" w:styleId="af5">
    <w:name w:val="Предмет на коментар Знак"/>
    <w:link w:val="af4"/>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a"/>
    <w:rsid w:val="00E25542"/>
    <w:pPr>
      <w:numPr>
        <w:numId w:val="43"/>
      </w:numPr>
    </w:pPr>
  </w:style>
  <w:style w:type="paragraph" w:styleId="af6">
    <w:name w:val="endnote text"/>
    <w:basedOn w:val="a"/>
    <w:link w:val="af7"/>
    <w:rsid w:val="005B3ED3"/>
    <w:rPr>
      <w:sz w:val="20"/>
    </w:rPr>
  </w:style>
  <w:style w:type="character" w:customStyle="1" w:styleId="af7">
    <w:name w:val="Текст на бележка в края Знак"/>
    <w:link w:val="af6"/>
    <w:rsid w:val="005B3ED3"/>
    <w:rPr>
      <w:snapToGrid w:val="0"/>
      <w:lang w:val="en-US" w:eastAsia="en-US"/>
    </w:rPr>
  </w:style>
  <w:style w:type="paragraph" w:styleId="af8">
    <w:name w:val="Subtitle"/>
    <w:basedOn w:val="a"/>
    <w:link w:val="af9"/>
    <w:qFormat/>
    <w:rsid w:val="00EF74CF"/>
    <w:pPr>
      <w:widowControl/>
      <w:spacing w:before="120" w:after="120"/>
      <w:jc w:val="center"/>
    </w:pPr>
    <w:rPr>
      <w:rFonts w:ascii="Arial" w:hAnsi="Arial"/>
      <w:b/>
      <w:sz w:val="28"/>
      <w:lang w:val="fr-BE"/>
    </w:rPr>
  </w:style>
  <w:style w:type="character" w:customStyle="1" w:styleId="af9">
    <w:name w:val="Подзаглавие Знак"/>
    <w:basedOn w:val="a0"/>
    <w:link w:val="af8"/>
    <w:rsid w:val="00EF74CF"/>
    <w:rPr>
      <w:rFonts w:ascii="Arial" w:hAnsi="Arial"/>
      <w:b/>
      <w:snapToGrid w:val="0"/>
      <w:sz w:val="28"/>
      <w:lang w:eastAsia="en-US"/>
    </w:rPr>
  </w:style>
  <w:style w:type="paragraph" w:styleId="afa">
    <w:name w:val="Revision"/>
    <w:hidden/>
    <w:uiPriority w:val="99"/>
    <w:semiHidden/>
    <w:rsid w:val="00C91095"/>
    <w:rPr>
      <w:snapToGrid w:val="0"/>
      <w:sz w:val="24"/>
      <w:lang w:val="en-US" w:eastAsia="en-US"/>
    </w:rPr>
  </w:style>
  <w:style w:type="character" w:customStyle="1" w:styleId="UnresolvedMention">
    <w:name w:val="Unresolved Mention"/>
    <w:basedOn w:val="a0"/>
    <w:uiPriority w:val="99"/>
    <w:semiHidden/>
    <w:unhideWhenUsed/>
    <w:rsid w:val="00166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202135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otevgrad.b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4.xml><?xml version="1.0" encoding="utf-8"?>
<ds:datastoreItem xmlns:ds="http://schemas.openxmlformats.org/officeDocument/2006/customXml" ds:itemID="{5C9DF8F4-991B-4E76-879E-AAF151A49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gergana nikolova</cp:lastModifiedBy>
  <cp:revision>7</cp:revision>
  <cp:lastPrinted>2014-01-30T15:32:00Z</cp:lastPrinted>
  <dcterms:created xsi:type="dcterms:W3CDTF">2022-07-31T21:58:00Z</dcterms:created>
  <dcterms:modified xsi:type="dcterms:W3CDTF">2022-08-09T14:15:00Z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